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kinsoku/>
        <w:autoSpaceDE/>
        <w:autoSpaceDN/>
        <w:adjustRightInd/>
        <w:snapToGrid/>
        <w:spacing w:line="600" w:lineRule="exact"/>
        <w:jc w:val="center"/>
        <w:textAlignment w:val="auto"/>
        <w:rPr>
          <w:rFonts w:ascii="宋体" w:hAnsi="宋体" w:eastAsia="方正小标宋简体" w:cs="Times New Roman"/>
          <w:b w:val="0"/>
          <w:bCs/>
          <w:snapToGrid/>
          <w:color w:val="auto"/>
          <w:kern w:val="2"/>
          <w:sz w:val="44"/>
          <w:szCs w:val="20"/>
          <w:lang w:val="en-US" w:eastAsia="zh-CN" w:bidi="ar-SA"/>
        </w:rPr>
      </w:pPr>
      <w:r>
        <w:rPr>
          <w:rFonts w:hint="eastAsia" w:ascii="宋体" w:hAnsi="宋体" w:eastAsia="方正小标宋简体" w:cs="Times New Roman"/>
          <w:b w:val="0"/>
          <w:bCs/>
          <w:snapToGrid/>
          <w:color w:val="auto"/>
          <w:kern w:val="2"/>
          <w:sz w:val="44"/>
          <w:szCs w:val="20"/>
          <w:lang w:val="en-US" w:eastAsia="zh-CN" w:bidi="ar-SA"/>
        </w:rPr>
        <w:t>中共威海市委宣传部等</w:t>
      </w:r>
    </w:p>
    <w:p>
      <w:pPr>
        <w:widowControl w:val="0"/>
        <w:kinsoku/>
        <w:autoSpaceDE/>
        <w:autoSpaceDN/>
        <w:adjustRightInd/>
        <w:snapToGrid/>
        <w:spacing w:line="600" w:lineRule="exact"/>
        <w:jc w:val="center"/>
        <w:textAlignment w:val="auto"/>
        <w:rPr>
          <w:rFonts w:ascii="宋体" w:hAnsi="宋体" w:eastAsia="方正小标宋简体" w:cs="Times New Roman"/>
          <w:b w:val="0"/>
          <w:bCs/>
          <w:snapToGrid/>
          <w:color w:val="auto"/>
          <w:kern w:val="2"/>
          <w:sz w:val="44"/>
          <w:szCs w:val="20"/>
          <w:lang w:val="en-US" w:eastAsia="zh-CN" w:bidi="ar-SA"/>
        </w:rPr>
      </w:pPr>
      <w:r>
        <w:rPr>
          <w:rFonts w:hint="eastAsia" w:ascii="宋体" w:hAnsi="宋体" w:eastAsia="方正小标宋简体" w:cs="Times New Roman"/>
          <w:b w:val="0"/>
          <w:bCs/>
          <w:snapToGrid/>
          <w:color w:val="auto"/>
          <w:kern w:val="2"/>
          <w:sz w:val="44"/>
          <w:szCs w:val="20"/>
          <w:lang w:val="en-US" w:eastAsia="zh-CN" w:bidi="ar-SA"/>
        </w:rPr>
        <w:t>关于在全市开展“中国梦·新时代·新使命”</w:t>
      </w:r>
    </w:p>
    <w:p>
      <w:pPr>
        <w:widowControl w:val="0"/>
        <w:kinsoku/>
        <w:autoSpaceDE/>
        <w:autoSpaceDN/>
        <w:adjustRightInd/>
        <w:snapToGrid/>
        <w:spacing w:line="600" w:lineRule="exact"/>
        <w:jc w:val="center"/>
        <w:textAlignment w:val="auto"/>
        <w:rPr>
          <w:rFonts w:ascii="宋体" w:hAnsi="宋体" w:eastAsia="方正小标宋简体" w:cs="方正小标宋简体"/>
          <w:b w:val="0"/>
          <w:bCs/>
          <w:snapToGrid/>
          <w:color w:val="auto"/>
          <w:kern w:val="2"/>
          <w:sz w:val="44"/>
          <w:szCs w:val="44"/>
          <w:lang w:val="en-US" w:eastAsia="zh-CN" w:bidi="ar-SA"/>
        </w:rPr>
      </w:pPr>
      <w:r>
        <w:rPr>
          <w:rFonts w:hint="eastAsia" w:ascii="宋体" w:hAnsi="宋体" w:eastAsia="方正小标宋简体" w:cs="Times New Roman"/>
          <w:b w:val="0"/>
          <w:bCs/>
          <w:snapToGrid/>
          <w:color w:val="auto"/>
          <w:kern w:val="2"/>
          <w:sz w:val="44"/>
          <w:szCs w:val="20"/>
          <w:lang w:val="en-US" w:eastAsia="zh-CN" w:bidi="ar-SA"/>
        </w:rPr>
        <w:t>百姓宣讲大赛的通知</w:t>
      </w:r>
    </w:p>
    <w:p>
      <w:pPr>
        <w:spacing w:line="256" w:lineRule="auto"/>
        <w:rPr>
          <w:rFonts w:ascii="Arial"/>
          <w:sz w:val="21"/>
        </w:rPr>
      </w:pPr>
    </w:p>
    <w:p>
      <w:pPr>
        <w:spacing w:line="257" w:lineRule="auto"/>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hanging="9"/>
        <w:textAlignment w:val="baseline"/>
        <w:rPr>
          <w:rFonts w:ascii="仿宋" w:hAnsi="仿宋" w:eastAsia="仿宋" w:cs="仿宋"/>
          <w:sz w:val="32"/>
          <w:szCs w:val="32"/>
        </w:rPr>
      </w:pPr>
      <w:r>
        <w:rPr>
          <w:rFonts w:hint="eastAsia" w:ascii="宋体" w:hAnsi="宋体" w:eastAsia="仿宋_GB2312" w:cs="仿宋_GB2312"/>
          <w:b w:val="0"/>
          <w:bCs/>
          <w:color w:val="auto"/>
          <w:sz w:val="32"/>
          <w:szCs w:val="32"/>
          <w:lang w:bidi="ar"/>
        </w:rPr>
        <w:t>各区市党委宣传部、网信办、机关工委、教育工委、工会、团委、</w:t>
      </w:r>
      <w:r>
        <w:rPr>
          <w:rFonts w:hint="eastAsia" w:ascii="宋体" w:hAnsi="宋体" w:eastAsia="仿宋_GB2312" w:cs="仿宋_GB2312"/>
          <w:b w:val="0"/>
          <w:bCs/>
          <w:color w:val="auto"/>
          <w:sz w:val="32"/>
          <w:szCs w:val="32"/>
          <w:lang w:eastAsia="zh-CN" w:bidi="ar"/>
        </w:rPr>
        <w:t>妇联、国资委，</w:t>
      </w:r>
      <w:r>
        <w:rPr>
          <w:rFonts w:hint="eastAsia" w:ascii="宋体" w:hAnsi="宋体" w:eastAsia="仿宋_GB2312" w:cs="仿宋_GB2312"/>
          <w:b w:val="0"/>
          <w:bCs/>
          <w:color w:val="auto"/>
          <w:sz w:val="32"/>
          <w:szCs w:val="32"/>
          <w:lang w:bidi="ar"/>
        </w:rPr>
        <w:t>国家级开发区党政办公室</w:t>
      </w:r>
      <w:r>
        <w:rPr>
          <w:rFonts w:hint="eastAsia" w:ascii="宋体" w:hAnsi="宋体" w:eastAsia="仿宋_GB2312" w:cs="仿宋_GB2312"/>
          <w:b w:val="0"/>
          <w:bCs/>
          <w:color w:val="auto"/>
          <w:sz w:val="32"/>
          <w:szCs w:val="32"/>
          <w:lang w:eastAsia="zh-CN" w:bidi="ar"/>
        </w:rPr>
        <w:t>、</w:t>
      </w:r>
      <w:r>
        <w:rPr>
          <w:rFonts w:hint="eastAsia" w:ascii="宋体" w:hAnsi="宋体" w:eastAsia="仿宋_GB2312" w:cs="仿宋_GB2312"/>
          <w:b w:val="0"/>
          <w:bCs/>
          <w:color w:val="auto"/>
          <w:sz w:val="32"/>
          <w:szCs w:val="32"/>
          <w:lang w:val="en-US" w:eastAsia="zh-CN" w:bidi="ar"/>
        </w:rPr>
        <w:t>党群工作部，</w:t>
      </w:r>
      <w:r>
        <w:rPr>
          <w:rFonts w:hint="eastAsia" w:ascii="宋体" w:hAnsi="宋体" w:eastAsia="仿宋_GB2312" w:cs="仿宋_GB2312"/>
          <w:b w:val="0"/>
          <w:bCs/>
          <w:color w:val="auto"/>
          <w:sz w:val="32"/>
          <w:szCs w:val="32"/>
          <w:lang w:bidi="ar"/>
        </w:rPr>
        <w:t>南海新区工委办公室</w:t>
      </w:r>
      <w:r>
        <w:rPr>
          <w:rFonts w:hint="eastAsia" w:ascii="宋体" w:hAnsi="宋体" w:eastAsia="仿宋_GB2312" w:cs="仿宋_GB2312"/>
          <w:b w:val="0"/>
          <w:bCs/>
          <w:color w:val="auto"/>
          <w:sz w:val="32"/>
          <w:szCs w:val="32"/>
          <w:lang w:eastAsia="zh-CN" w:bidi="ar"/>
        </w:rPr>
        <w:t>、</w:t>
      </w:r>
      <w:r>
        <w:rPr>
          <w:rFonts w:hint="eastAsia" w:ascii="宋体" w:hAnsi="宋体" w:eastAsia="仿宋_GB2312" w:cs="仿宋_GB2312"/>
          <w:b w:val="0"/>
          <w:bCs/>
          <w:color w:val="auto"/>
          <w:sz w:val="32"/>
          <w:szCs w:val="32"/>
          <w:lang w:val="en-US" w:eastAsia="zh-CN" w:bidi="ar"/>
        </w:rPr>
        <w:t>党群与人力资源部</w:t>
      </w:r>
      <w:r>
        <w:rPr>
          <w:rFonts w:hint="eastAsia" w:ascii="宋体" w:hAnsi="宋体" w:eastAsia="仿宋_GB2312" w:cs="仿宋_GB2312"/>
          <w:b w:val="0"/>
          <w:bCs/>
          <w:color w:val="auto"/>
          <w:sz w:val="32"/>
          <w:szCs w:val="32"/>
        </w:rPr>
        <w:t>：</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5"/>
        <w:jc w:val="both"/>
        <w:textAlignment w:val="baseline"/>
        <w:rPr>
          <w:rFonts w:ascii="仿宋" w:hAnsi="仿宋" w:eastAsia="仿宋" w:cs="仿宋"/>
          <w:spacing w:val="6"/>
          <w:sz w:val="32"/>
          <w:szCs w:val="32"/>
        </w:rPr>
      </w:pPr>
      <w:r>
        <w:rPr>
          <w:rFonts w:hint="eastAsia" w:ascii="宋体" w:hAnsi="宋体" w:eastAsia="仿宋_GB2312" w:cs="仿宋_GB2312"/>
          <w:b w:val="0"/>
          <w:bCs/>
          <w:color w:val="auto"/>
          <w:sz w:val="32"/>
          <w:szCs w:val="32"/>
          <w:lang w:eastAsia="zh-CN" w:bidi="ar"/>
        </w:rPr>
        <w:t>为推动党的二十大精神在威海落地生根，激发广大党员干部群众积极投身“精致城市·幸福威海”建设，根据省委宣传部等部门工作部署和市委工作安排，市委宣传部、市委网信办、市委市直机关工委、市委教育工委、市总工会、团市委、市妇联、市国资委决定在全市联合开展“中国梦·新时代·新使命”百姓宣讲大赛。现将有关事项通知如下。</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68" w:firstLineChars="200"/>
        <w:textAlignment w:val="baseline"/>
        <w:rPr>
          <w:rFonts w:ascii="黑体" w:hAnsi="黑体" w:eastAsia="黑体" w:cs="黑体"/>
          <w:sz w:val="32"/>
          <w:szCs w:val="32"/>
        </w:rPr>
      </w:pPr>
      <w:r>
        <w:rPr>
          <w:rFonts w:ascii="黑体" w:hAnsi="黑体" w:eastAsia="黑体" w:cs="黑体"/>
          <w:spacing w:val="7"/>
          <w:position w:val="4"/>
          <w:sz w:val="32"/>
          <w:szCs w:val="32"/>
        </w:rPr>
        <w:t>一</w:t>
      </w:r>
      <w:r>
        <w:rPr>
          <w:rFonts w:ascii="黑体" w:hAnsi="黑体" w:eastAsia="黑体" w:cs="黑体"/>
          <w:spacing w:val="6"/>
          <w:position w:val="4"/>
          <w:sz w:val="32"/>
          <w:szCs w:val="32"/>
        </w:rPr>
        <w:t>、指导思想</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5"/>
        <w:jc w:val="both"/>
        <w:textAlignment w:val="baseline"/>
        <w:rPr>
          <w:rFonts w:hint="eastAsia" w:ascii="宋体" w:hAnsi="宋体" w:eastAsia="仿宋_GB2312" w:cs="仿宋_GB2312"/>
          <w:b w:val="0"/>
          <w:bCs/>
          <w:color w:val="auto"/>
          <w:sz w:val="32"/>
          <w:szCs w:val="32"/>
          <w:lang w:eastAsia="zh-CN" w:bidi="ar"/>
        </w:rPr>
      </w:pPr>
      <w:r>
        <w:rPr>
          <w:rFonts w:hint="eastAsia" w:ascii="宋体" w:hAnsi="宋体" w:eastAsia="仿宋_GB2312" w:cs="仿宋_GB2312"/>
          <w:b w:val="0"/>
          <w:bCs/>
          <w:color w:val="auto"/>
          <w:sz w:val="32"/>
          <w:szCs w:val="32"/>
          <w:lang w:eastAsia="zh-CN" w:bidi="ar"/>
        </w:rPr>
        <w:t>以习近平新时代中国特色社会主义思想为指导，全面贯彻落实党的二十大精神，贯彻落实习近平总书记对山东工作重要指示要求，突出“中国梦·新时代·新使命”主题，集中展现市委市政府推进中国式现代化的威海实践，集中展现全市上下扛牢新担当、展现新作为的干事创业热情，集中展现广大党员群众铆足干劲抓落实的强大合力，教育引导广大党员群众深刻理解“两个确立”的决定性意义，不断增强“四个意识”、坚定“四个自信”、做到“两个维护”，自觉把新时代的使命担当转化为干事创业的实际行动，踔厉奋发、勇毅前行、团结奋斗</w:t>
      </w:r>
      <w:r>
        <w:rPr>
          <w:rFonts w:hint="eastAsia" w:ascii="宋体" w:hAnsi="宋体" w:eastAsia="仿宋_GB2312" w:cs="仿宋_GB2312"/>
          <w:b w:val="0"/>
          <w:bCs/>
          <w:color w:val="auto"/>
          <w:sz w:val="32"/>
          <w:szCs w:val="32"/>
          <w:lang w:val="en-US" w:eastAsia="zh-CN" w:bidi="ar"/>
        </w:rPr>
        <w:t>，</w:t>
      </w:r>
      <w:r>
        <w:rPr>
          <w:rFonts w:hint="eastAsia" w:ascii="宋体" w:hAnsi="宋体" w:eastAsia="仿宋_GB2312" w:cs="仿宋_GB2312"/>
          <w:b w:val="0"/>
          <w:bCs/>
          <w:color w:val="auto"/>
          <w:sz w:val="32"/>
          <w:szCs w:val="32"/>
          <w:lang w:eastAsia="zh-CN" w:bidi="ar"/>
        </w:rPr>
        <w:t>全力打造共同富裕先行区，不断开创“精致城市·幸福威海”建设新局面，争当新时代社会主义现代化强省建设排头兵。</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6" w:firstLineChars="200"/>
        <w:textAlignment w:val="baseline"/>
        <w:rPr>
          <w:rFonts w:ascii="黑体" w:hAnsi="黑体" w:eastAsia="黑体" w:cs="黑体"/>
          <w:sz w:val="32"/>
          <w:szCs w:val="32"/>
        </w:rPr>
      </w:pPr>
      <w:r>
        <w:rPr>
          <w:rFonts w:ascii="黑体" w:hAnsi="黑体" w:eastAsia="黑体" w:cs="黑体"/>
          <w:spacing w:val="9"/>
          <w:position w:val="2"/>
          <w:sz w:val="32"/>
          <w:szCs w:val="32"/>
        </w:rPr>
        <w:t>二</w:t>
      </w:r>
      <w:r>
        <w:rPr>
          <w:rFonts w:ascii="黑体" w:hAnsi="黑体" w:eastAsia="黑体" w:cs="黑体"/>
          <w:spacing w:val="6"/>
          <w:position w:val="2"/>
          <w:sz w:val="32"/>
          <w:szCs w:val="32"/>
        </w:rPr>
        <w:t>、宣讲内容</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5"/>
        <w:jc w:val="both"/>
        <w:textAlignment w:val="baseline"/>
        <w:rPr>
          <w:rFonts w:hint="eastAsia" w:ascii="宋体" w:hAnsi="宋体" w:eastAsia="仿宋_GB2312" w:cs="仿宋_GB2312"/>
          <w:b w:val="0"/>
          <w:bCs/>
          <w:color w:val="auto"/>
          <w:sz w:val="32"/>
          <w:szCs w:val="32"/>
          <w:lang w:eastAsia="zh-CN" w:bidi="ar"/>
        </w:rPr>
      </w:pPr>
      <w:r>
        <w:rPr>
          <w:rFonts w:hint="eastAsia" w:ascii="宋体" w:hAnsi="宋体" w:eastAsia="仿宋_GB2312" w:cs="仿宋_GB2312"/>
          <w:b w:val="0"/>
          <w:bCs/>
          <w:color w:val="auto"/>
          <w:sz w:val="32"/>
          <w:szCs w:val="32"/>
          <w:lang w:eastAsia="zh-CN" w:bidi="ar"/>
        </w:rPr>
        <w:t>紧扣“中国梦·新时代·新使命”主题，讲好习近平总书记亲自为山东发展把脉定向、指路领航，对山东情深似海、厚望如山的领袖故事；讲好全市各领域各行业牢记“走在前、开新局”的光荣使命和“威海要向精致城市方向发展”的殷切嘱托，大力弘扬敢想敢干、敢为人先的改革创新精神，矢志推进高质量发展和共同富裕；讲好各级党委政府深入践行以人民为中心的发展思想，永远与群众坐在一条板凳上，守初心、办实事、办好事的暖心故事；讲好广大干部群众牢记习近平总书记殷殷嘱托，转承梦想现实、接续奋斗拼搏，以昂扬斗志、奋进姿态创造美好生活的奋斗故事。</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right="0" w:rightChars="0" w:firstLine="664" w:firstLineChars="200"/>
        <w:textAlignment w:val="baseline"/>
        <w:rPr>
          <w:rFonts w:ascii="黑体" w:hAnsi="黑体" w:eastAsia="黑体" w:cs="黑体"/>
          <w:sz w:val="32"/>
          <w:szCs w:val="32"/>
        </w:rPr>
      </w:pPr>
      <w:r>
        <w:rPr>
          <w:rFonts w:hint="eastAsia" w:ascii="黑体" w:hAnsi="黑体" w:eastAsia="黑体" w:cs="黑体"/>
          <w:spacing w:val="6"/>
          <w:sz w:val="32"/>
          <w:szCs w:val="32"/>
          <w:lang w:eastAsia="zh-CN"/>
        </w:rPr>
        <w:t>三、</w:t>
      </w:r>
      <w:r>
        <w:rPr>
          <w:rFonts w:ascii="黑体" w:hAnsi="黑体" w:eastAsia="黑体" w:cs="黑体"/>
          <w:spacing w:val="6"/>
          <w:sz w:val="32"/>
          <w:szCs w:val="32"/>
        </w:rPr>
        <w:t>宣讲形式</w:t>
      </w:r>
      <w:r>
        <w:rPr>
          <w:rFonts w:ascii="黑体" w:hAnsi="黑体" w:eastAsia="黑体" w:cs="黑体"/>
          <w:sz w:val="32"/>
          <w:szCs w:val="32"/>
        </w:rPr>
        <w:t xml:space="preserve">                                       </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560" w:lineRule="exact"/>
        <w:ind w:right="0" w:rightChars="0" w:firstLine="656" w:firstLineChars="200"/>
        <w:textAlignment w:val="baseline"/>
        <w:rPr>
          <w:rFonts w:ascii="仿宋" w:hAnsi="仿宋" w:eastAsia="仿宋" w:cs="仿宋"/>
          <w:sz w:val="32"/>
          <w:szCs w:val="32"/>
        </w:rPr>
      </w:pPr>
      <w:r>
        <w:rPr>
          <w:rFonts w:ascii="宋体" w:hAnsi="宋体" w:eastAsia="宋体" w:cs="宋体"/>
          <w:spacing w:val="4"/>
          <w:sz w:val="32"/>
          <w:szCs w:val="32"/>
        </w:rPr>
        <w:t>1.</w:t>
      </w:r>
      <w:r>
        <w:rPr>
          <w:rFonts w:ascii="楷体" w:hAnsi="楷体" w:eastAsia="楷体" w:cs="楷体"/>
          <w:spacing w:val="4"/>
          <w:sz w:val="32"/>
          <w:szCs w:val="32"/>
        </w:rPr>
        <w:t>理论类。</w:t>
      </w:r>
      <w:r>
        <w:rPr>
          <w:rFonts w:ascii="仿宋" w:hAnsi="仿宋" w:eastAsia="仿宋" w:cs="仿宋"/>
          <w:spacing w:val="4"/>
          <w:sz w:val="32"/>
          <w:szCs w:val="32"/>
        </w:rPr>
        <w:t>围绕新时代党的创新理论进行深入浅出的阐释</w:t>
      </w:r>
      <w:r>
        <w:rPr>
          <w:rFonts w:ascii="仿宋" w:hAnsi="仿宋" w:eastAsia="仿宋" w:cs="仿宋"/>
          <w:spacing w:val="3"/>
          <w:sz w:val="32"/>
          <w:szCs w:val="32"/>
        </w:rPr>
        <w:t>解</w:t>
      </w:r>
      <w:r>
        <w:rPr>
          <w:rFonts w:ascii="仿宋" w:hAnsi="仿宋" w:eastAsia="仿宋" w:cs="仿宋"/>
          <w:spacing w:val="8"/>
          <w:sz w:val="32"/>
          <w:szCs w:val="32"/>
        </w:rPr>
        <w:t>读，有启发、重实效。</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5"/>
        <w:textAlignment w:val="baseline"/>
        <w:rPr>
          <w:rFonts w:ascii="仿宋" w:hAnsi="仿宋" w:eastAsia="仿宋" w:cs="仿宋"/>
          <w:sz w:val="32"/>
          <w:szCs w:val="32"/>
        </w:rPr>
      </w:pPr>
      <w:r>
        <w:rPr>
          <w:rFonts w:ascii="宋体" w:hAnsi="宋体" w:eastAsia="宋体" w:cs="宋体"/>
          <w:spacing w:val="8"/>
          <w:sz w:val="32"/>
          <w:szCs w:val="32"/>
        </w:rPr>
        <w:t>2.</w:t>
      </w:r>
      <w:r>
        <w:rPr>
          <w:rFonts w:ascii="楷体" w:hAnsi="楷体" w:eastAsia="楷体" w:cs="楷体"/>
          <w:spacing w:val="8"/>
          <w:sz w:val="32"/>
          <w:szCs w:val="32"/>
        </w:rPr>
        <w:t>故事类</w:t>
      </w:r>
      <w:r>
        <w:rPr>
          <w:rFonts w:ascii="楷体" w:hAnsi="楷体" w:eastAsia="楷体" w:cs="楷体"/>
          <w:spacing w:val="4"/>
          <w:sz w:val="32"/>
          <w:szCs w:val="32"/>
        </w:rPr>
        <w:t>。</w:t>
      </w:r>
      <w:r>
        <w:rPr>
          <w:rFonts w:ascii="仿宋" w:hAnsi="仿宋" w:eastAsia="仿宋" w:cs="仿宋"/>
          <w:spacing w:val="4"/>
          <w:sz w:val="32"/>
          <w:szCs w:val="32"/>
        </w:rPr>
        <w:t>通过典型、生动、感人的故事情节和通俗易懂的</w:t>
      </w:r>
      <w:r>
        <w:rPr>
          <w:rFonts w:ascii="仿宋" w:hAnsi="仿宋" w:eastAsia="仿宋" w:cs="仿宋"/>
          <w:spacing w:val="9"/>
          <w:sz w:val="32"/>
          <w:szCs w:val="32"/>
        </w:rPr>
        <w:t>语</w:t>
      </w:r>
      <w:r>
        <w:rPr>
          <w:rFonts w:ascii="仿宋" w:hAnsi="仿宋" w:eastAsia="仿宋" w:cs="仿宋"/>
          <w:spacing w:val="8"/>
          <w:sz w:val="32"/>
          <w:szCs w:val="32"/>
        </w:rPr>
        <w:t>言，亮观点、悟思想。</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18"/>
        <w:textAlignment w:val="baseline"/>
        <w:rPr>
          <w:rFonts w:ascii="仿宋" w:hAnsi="仿宋" w:eastAsia="仿宋" w:cs="仿宋"/>
          <w:sz w:val="32"/>
          <w:szCs w:val="32"/>
        </w:rPr>
      </w:pPr>
      <w:r>
        <w:rPr>
          <w:rFonts w:ascii="宋体" w:hAnsi="宋体" w:eastAsia="宋体" w:cs="宋体"/>
          <w:spacing w:val="8"/>
          <w:sz w:val="32"/>
          <w:szCs w:val="32"/>
        </w:rPr>
        <w:t>3.</w:t>
      </w:r>
      <w:r>
        <w:rPr>
          <w:rFonts w:ascii="楷体" w:hAnsi="楷体" w:eastAsia="楷体" w:cs="楷体"/>
          <w:spacing w:val="8"/>
          <w:sz w:val="32"/>
          <w:szCs w:val="32"/>
        </w:rPr>
        <w:t>曲艺</w:t>
      </w:r>
      <w:r>
        <w:rPr>
          <w:rFonts w:ascii="楷体" w:hAnsi="楷体" w:eastAsia="楷体" w:cs="楷体"/>
          <w:spacing w:val="5"/>
          <w:sz w:val="32"/>
          <w:szCs w:val="32"/>
        </w:rPr>
        <w:t>类</w:t>
      </w:r>
      <w:r>
        <w:rPr>
          <w:rFonts w:ascii="楷体" w:hAnsi="楷体" w:eastAsia="楷体" w:cs="楷体"/>
          <w:spacing w:val="4"/>
          <w:sz w:val="32"/>
          <w:szCs w:val="32"/>
        </w:rPr>
        <w:t>。</w:t>
      </w:r>
      <w:r>
        <w:rPr>
          <w:rFonts w:ascii="仿宋" w:hAnsi="仿宋" w:eastAsia="仿宋" w:cs="仿宋"/>
          <w:spacing w:val="4"/>
          <w:sz w:val="32"/>
          <w:szCs w:val="32"/>
        </w:rPr>
        <w:t>通过说唱、戏曲、相声、快板、快书等喜闻乐见</w:t>
      </w:r>
      <w:r>
        <w:rPr>
          <w:rFonts w:ascii="仿宋" w:hAnsi="仿宋" w:eastAsia="仿宋" w:cs="仿宋"/>
          <w:spacing w:val="10"/>
          <w:sz w:val="32"/>
          <w:szCs w:val="32"/>
        </w:rPr>
        <w:t>的</w:t>
      </w:r>
      <w:r>
        <w:rPr>
          <w:rFonts w:ascii="仿宋" w:hAnsi="仿宋" w:eastAsia="仿宋" w:cs="仿宋"/>
          <w:spacing w:val="7"/>
          <w:sz w:val="32"/>
          <w:szCs w:val="32"/>
        </w:rPr>
        <w:t>表现形式寓教于乐，有意思、增意义。</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38"/>
        <w:textAlignment w:val="baseline"/>
        <w:rPr>
          <w:rFonts w:ascii="仿宋" w:hAnsi="仿宋" w:eastAsia="仿宋" w:cs="仿宋"/>
          <w:sz w:val="32"/>
          <w:szCs w:val="32"/>
        </w:rPr>
      </w:pPr>
      <w:r>
        <w:rPr>
          <w:rFonts w:ascii="宋体" w:hAnsi="宋体" w:eastAsia="宋体" w:cs="宋体"/>
          <w:spacing w:val="5"/>
          <w:sz w:val="32"/>
          <w:szCs w:val="32"/>
        </w:rPr>
        <w:t>4.</w:t>
      </w:r>
      <w:r>
        <w:rPr>
          <w:rFonts w:ascii="楷体" w:hAnsi="楷体" w:eastAsia="楷体" w:cs="楷体"/>
          <w:spacing w:val="5"/>
          <w:sz w:val="32"/>
          <w:szCs w:val="32"/>
        </w:rPr>
        <w:t>视频类。</w:t>
      </w:r>
      <w:r>
        <w:rPr>
          <w:rFonts w:ascii="仿宋" w:hAnsi="仿宋" w:eastAsia="仿宋" w:cs="仿宋"/>
          <w:spacing w:val="5"/>
          <w:sz w:val="32"/>
          <w:szCs w:val="32"/>
        </w:rPr>
        <w:t>通过自编、自导、自演微视频短片，探索创新</w:t>
      </w:r>
      <w:r>
        <w:rPr>
          <w:rFonts w:ascii="仿宋" w:hAnsi="仿宋" w:eastAsia="仿宋" w:cs="仿宋"/>
          <w:spacing w:val="3"/>
          <w:sz w:val="32"/>
          <w:szCs w:val="32"/>
        </w:rPr>
        <w:t>宣</w:t>
      </w:r>
      <w:r>
        <w:rPr>
          <w:rFonts w:ascii="仿宋" w:hAnsi="仿宋" w:eastAsia="仿宋" w:cs="仿宋"/>
          <w:spacing w:val="8"/>
          <w:sz w:val="32"/>
          <w:szCs w:val="32"/>
        </w:rPr>
        <w:t>讲方式，摆事实、明道理。</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56" w:firstLineChars="200"/>
        <w:textAlignment w:val="baseline"/>
        <w:rPr>
          <w:rFonts w:ascii="黑体" w:hAnsi="黑体" w:eastAsia="黑体" w:cs="黑体"/>
          <w:spacing w:val="4"/>
          <w:sz w:val="32"/>
          <w:szCs w:val="32"/>
        </w:rPr>
      </w:pPr>
      <w:r>
        <w:rPr>
          <w:rFonts w:ascii="黑体" w:hAnsi="黑体" w:eastAsia="黑体" w:cs="黑体"/>
          <w:spacing w:val="4"/>
          <w:sz w:val="32"/>
          <w:szCs w:val="32"/>
        </w:rPr>
        <w:t>四、宣讲要求</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56" w:firstLineChars="200"/>
        <w:jc w:val="both"/>
        <w:textAlignment w:val="baseline"/>
        <w:rPr>
          <w:rFonts w:hint="eastAsia" w:ascii="宋体" w:hAnsi="宋体" w:eastAsia="仿宋_GB2312" w:cs="仿宋_GB2312"/>
          <w:b w:val="0"/>
          <w:bCs/>
          <w:color w:val="auto"/>
          <w:sz w:val="32"/>
          <w:szCs w:val="32"/>
          <w:lang w:eastAsia="zh-CN" w:bidi="ar"/>
        </w:rPr>
      </w:pPr>
      <w:r>
        <w:rPr>
          <w:rFonts w:ascii="楷体" w:hAnsi="楷体" w:eastAsia="楷体" w:cs="楷体"/>
          <w:spacing w:val="4"/>
          <w:sz w:val="32"/>
          <w:szCs w:val="32"/>
        </w:rPr>
        <w:t>1.主题鲜明，导向正确。</w:t>
      </w:r>
      <w:r>
        <w:rPr>
          <w:rFonts w:hint="eastAsia" w:ascii="宋体" w:hAnsi="宋体" w:eastAsia="仿宋_GB2312" w:cs="仿宋_GB2312"/>
          <w:b w:val="0"/>
          <w:bCs/>
          <w:color w:val="auto"/>
          <w:sz w:val="32"/>
          <w:szCs w:val="32"/>
          <w:lang w:eastAsia="zh-CN" w:bidi="ar"/>
        </w:rPr>
        <w:t>紧扣“中国梦·新时代·新使命” 这一主题，把握理论大众化通俗化的特点规律，既有理论高度、 感情温度、实践厚度，又有较强吸引力、感染力、说服力，能够引发广大干部群众思想共鸣，进一步提振牢记新使命、展现新作为的精气神。</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2" w:firstLineChars="200"/>
        <w:jc w:val="both"/>
        <w:textAlignment w:val="baseline"/>
        <w:rPr>
          <w:rFonts w:hint="eastAsia" w:ascii="宋体" w:hAnsi="宋体" w:eastAsia="仿宋_GB2312" w:cs="仿宋_GB2312"/>
          <w:b w:val="0"/>
          <w:bCs/>
          <w:color w:val="auto"/>
          <w:sz w:val="32"/>
          <w:szCs w:val="32"/>
          <w:lang w:eastAsia="zh-CN" w:bidi="ar"/>
        </w:rPr>
      </w:pPr>
      <w:r>
        <w:rPr>
          <w:rFonts w:ascii="宋体" w:hAnsi="宋体" w:eastAsia="宋体" w:cs="宋体"/>
          <w:spacing w:val="8"/>
          <w:sz w:val="32"/>
          <w:szCs w:val="32"/>
        </w:rPr>
        <w:t>2.</w:t>
      </w:r>
      <w:r>
        <w:rPr>
          <w:rFonts w:ascii="楷体" w:hAnsi="楷体" w:eastAsia="楷体" w:cs="楷体"/>
          <w:spacing w:val="8"/>
          <w:sz w:val="32"/>
          <w:szCs w:val="32"/>
        </w:rPr>
        <w:t>故事</w:t>
      </w:r>
      <w:r>
        <w:rPr>
          <w:rFonts w:ascii="楷体" w:hAnsi="楷体" w:eastAsia="楷体" w:cs="楷体"/>
          <w:spacing w:val="7"/>
          <w:sz w:val="32"/>
          <w:szCs w:val="32"/>
        </w:rPr>
        <w:t>典</w:t>
      </w:r>
      <w:r>
        <w:rPr>
          <w:rFonts w:ascii="楷体" w:hAnsi="楷体" w:eastAsia="楷体" w:cs="楷体"/>
          <w:spacing w:val="4"/>
          <w:sz w:val="32"/>
          <w:szCs w:val="32"/>
        </w:rPr>
        <w:t>型，形式活泼。</w:t>
      </w:r>
      <w:r>
        <w:rPr>
          <w:rFonts w:hint="eastAsia" w:ascii="宋体" w:hAnsi="宋体" w:eastAsia="仿宋_GB2312" w:cs="仿宋_GB2312"/>
          <w:b w:val="0"/>
          <w:bCs/>
          <w:color w:val="auto"/>
          <w:sz w:val="32"/>
          <w:szCs w:val="32"/>
          <w:lang w:eastAsia="zh-CN" w:bidi="ar"/>
        </w:rPr>
        <w:t>坚持贴近实际、贴近生活、贴近群众，说理深入浅出、材料典型准确、形式生动活泼，能够把科学理论融入生动实践，把抽象道理融入感人故事，把理性思考融入感性场景，把内在逻辑融入通俗话语，集中展现威海市人民建设“精致城市·幸福威海”的信心和决心。</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2" w:firstLineChars="200"/>
        <w:jc w:val="both"/>
        <w:textAlignment w:val="baseline"/>
        <w:rPr>
          <w:rFonts w:hint="eastAsia" w:ascii="宋体" w:hAnsi="宋体" w:eastAsia="仿宋_GB2312" w:cs="仿宋_GB2312"/>
          <w:b w:val="0"/>
          <w:bCs/>
          <w:color w:val="auto"/>
          <w:sz w:val="32"/>
          <w:szCs w:val="32"/>
          <w:lang w:eastAsia="zh-CN" w:bidi="ar"/>
        </w:rPr>
      </w:pPr>
      <w:r>
        <w:rPr>
          <w:rFonts w:ascii="宋体" w:hAnsi="宋体" w:eastAsia="宋体" w:cs="宋体"/>
          <w:spacing w:val="8"/>
          <w:sz w:val="32"/>
          <w:szCs w:val="32"/>
        </w:rPr>
        <w:t>3.</w:t>
      </w:r>
      <w:r>
        <w:rPr>
          <w:rFonts w:ascii="楷体" w:hAnsi="楷体" w:eastAsia="楷体" w:cs="楷体"/>
          <w:spacing w:val="8"/>
          <w:sz w:val="32"/>
          <w:szCs w:val="32"/>
        </w:rPr>
        <w:t>感情</w:t>
      </w:r>
      <w:r>
        <w:rPr>
          <w:rFonts w:ascii="楷体" w:hAnsi="楷体" w:eastAsia="楷体" w:cs="楷体"/>
          <w:spacing w:val="4"/>
          <w:sz w:val="32"/>
          <w:szCs w:val="32"/>
        </w:rPr>
        <w:t>真挚，启发性强。</w:t>
      </w:r>
      <w:r>
        <w:rPr>
          <w:rFonts w:hint="eastAsia" w:ascii="宋体" w:hAnsi="宋体" w:eastAsia="仿宋_GB2312" w:cs="仿宋_GB2312"/>
          <w:b w:val="0"/>
          <w:bCs/>
          <w:color w:val="auto"/>
          <w:sz w:val="32"/>
          <w:szCs w:val="32"/>
          <w:lang w:eastAsia="zh-CN" w:bidi="ar"/>
        </w:rPr>
        <w:t>突出百姓特色，说百姓话、拉百姓理，语言生动朴实，讲述动情感人，让人听后有所感悟、有所启迪，进一步增强广大干部群众对习近平新时代中国特色社会主义思想的政治认同、思想认同、理论认同、情感认同。</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宋体" w:hAnsi="宋体" w:eastAsia="仿宋_GB2312" w:cs="仿宋_GB2312"/>
          <w:b w:val="0"/>
          <w:bCs/>
          <w:color w:val="auto"/>
          <w:sz w:val="32"/>
          <w:szCs w:val="32"/>
          <w:lang w:eastAsia="zh-CN" w:bidi="ar"/>
        </w:rPr>
      </w:pPr>
      <w:r>
        <w:rPr>
          <w:rFonts w:hint="eastAsia" w:ascii="宋体" w:hAnsi="宋体" w:eastAsia="仿宋_GB2312" w:cs="仿宋_GB2312"/>
          <w:b w:val="0"/>
          <w:bCs/>
          <w:color w:val="auto"/>
          <w:sz w:val="32"/>
          <w:szCs w:val="32"/>
          <w:lang w:eastAsia="zh-CN" w:bidi="ar"/>
        </w:rPr>
        <w:t>理论类、故事类、曲艺类宣讲时长掌握在 8 分钟左右，视频类时长 5 分钟左右。</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68" w:firstLineChars="200"/>
        <w:textAlignment w:val="baseline"/>
        <w:rPr>
          <w:rFonts w:ascii="黑体" w:hAnsi="黑体" w:eastAsia="黑体" w:cs="黑体"/>
          <w:sz w:val="32"/>
          <w:szCs w:val="32"/>
        </w:rPr>
      </w:pPr>
      <w:r>
        <w:rPr>
          <w:rFonts w:ascii="黑体" w:hAnsi="黑体" w:eastAsia="黑体" w:cs="黑体"/>
          <w:spacing w:val="7"/>
          <w:sz w:val="32"/>
          <w:szCs w:val="32"/>
        </w:rPr>
        <w:t>五</w:t>
      </w:r>
      <w:r>
        <w:rPr>
          <w:rFonts w:ascii="黑体" w:hAnsi="黑体" w:eastAsia="黑体" w:cs="黑体"/>
          <w:spacing w:val="6"/>
          <w:sz w:val="32"/>
          <w:szCs w:val="32"/>
        </w:rPr>
        <w:t>、时间安排</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0" w:firstLineChars="200"/>
        <w:jc w:val="both"/>
        <w:textAlignment w:val="baseline"/>
        <w:rPr>
          <w:rFonts w:hint="eastAsia" w:ascii="宋体" w:hAnsi="宋体" w:eastAsia="仿宋_GB2312" w:cs="仿宋_GB2312"/>
          <w:b w:val="0"/>
          <w:bCs/>
          <w:color w:val="auto"/>
          <w:sz w:val="32"/>
          <w:szCs w:val="32"/>
          <w:lang w:eastAsia="zh-CN" w:bidi="ar"/>
        </w:rPr>
      </w:pPr>
      <w:r>
        <w:rPr>
          <w:rFonts w:hint="eastAsia" w:ascii="宋体" w:hAnsi="宋体" w:eastAsia="仿宋_GB2312" w:cs="仿宋_GB2312"/>
          <w:b w:val="0"/>
          <w:bCs/>
          <w:color w:val="auto"/>
          <w:sz w:val="32"/>
          <w:szCs w:val="32"/>
          <w:lang w:eastAsia="zh-CN" w:bidi="ar"/>
        </w:rPr>
        <w:t>活动从 3 月启动，共分三个阶段进行。</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3"/>
        <w:jc w:val="both"/>
        <w:textAlignment w:val="baseline"/>
        <w:rPr>
          <w:rFonts w:hint="eastAsia" w:ascii="宋体" w:hAnsi="宋体" w:eastAsia="仿宋_GB2312" w:cs="仿宋_GB2312"/>
          <w:b w:val="0"/>
          <w:bCs/>
          <w:color w:val="auto"/>
          <w:sz w:val="32"/>
          <w:szCs w:val="32"/>
          <w:lang w:eastAsia="zh-CN" w:bidi="ar"/>
        </w:rPr>
      </w:pPr>
      <w:r>
        <w:rPr>
          <w:rFonts w:ascii="楷体" w:hAnsi="楷体" w:eastAsia="楷体" w:cs="楷体"/>
          <w:spacing w:val="-6"/>
          <w:sz w:val="32"/>
          <w:szCs w:val="32"/>
        </w:rPr>
        <w:t xml:space="preserve">第一阶段 ( </w:t>
      </w:r>
      <w:r>
        <w:rPr>
          <w:rFonts w:ascii="宋体" w:hAnsi="宋体" w:eastAsia="宋体" w:cs="宋体"/>
          <w:spacing w:val="-6"/>
          <w:sz w:val="32"/>
          <w:szCs w:val="32"/>
        </w:rPr>
        <w:t xml:space="preserve">3 </w:t>
      </w:r>
      <w:r>
        <w:rPr>
          <w:rFonts w:ascii="楷体" w:hAnsi="楷体" w:eastAsia="楷体" w:cs="楷体"/>
          <w:spacing w:val="-6"/>
          <w:sz w:val="32"/>
          <w:szCs w:val="32"/>
        </w:rPr>
        <w:t xml:space="preserve">月至 </w:t>
      </w:r>
      <w:r>
        <w:rPr>
          <w:rFonts w:ascii="宋体" w:hAnsi="宋体" w:eastAsia="宋体" w:cs="宋体"/>
          <w:spacing w:val="-6"/>
          <w:sz w:val="32"/>
          <w:szCs w:val="32"/>
        </w:rPr>
        <w:t xml:space="preserve">5 </w:t>
      </w:r>
      <w:r>
        <w:rPr>
          <w:rFonts w:ascii="楷体" w:hAnsi="楷体" w:eastAsia="楷体" w:cs="楷体"/>
          <w:spacing w:val="-6"/>
          <w:sz w:val="32"/>
          <w:szCs w:val="32"/>
        </w:rPr>
        <w:t>月 )：</w:t>
      </w:r>
      <w:r>
        <w:rPr>
          <w:rFonts w:hint="eastAsia" w:ascii="宋体" w:hAnsi="宋体" w:eastAsia="仿宋_GB2312" w:cs="仿宋_GB2312"/>
          <w:b w:val="0"/>
          <w:bCs/>
          <w:color w:val="auto"/>
          <w:sz w:val="32"/>
          <w:szCs w:val="32"/>
          <w:lang w:eastAsia="zh-CN" w:bidi="ar"/>
        </w:rPr>
        <w:t>各区市、开发区和有关部门单位 结合自身实际制定活动方案，广泛发动、层层选拔；深入挖掘题材，确定宣讲选题；撰写打磨宣讲稿件，抓好宣讲员培训； 自下而上组织镇街、区市 (开发区) 宣讲选拔赛，适时组织巡回宣讲和云宣讲。</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7"/>
        <w:textAlignment w:val="baseline"/>
        <w:rPr>
          <w:rFonts w:hint="eastAsia" w:ascii="宋体" w:hAnsi="宋体" w:eastAsia="仿宋_GB2312" w:cs="仿宋_GB2312"/>
          <w:b w:val="0"/>
          <w:bCs/>
          <w:color w:val="auto"/>
          <w:sz w:val="32"/>
          <w:szCs w:val="32"/>
          <w:lang w:eastAsia="zh-CN" w:bidi="ar"/>
        </w:rPr>
      </w:pPr>
      <w:r>
        <w:rPr>
          <w:rFonts w:ascii="楷体" w:hAnsi="楷体" w:eastAsia="楷体" w:cs="楷体"/>
          <w:spacing w:val="-12"/>
          <w:sz w:val="32"/>
          <w:szCs w:val="32"/>
        </w:rPr>
        <w:t>第</w:t>
      </w:r>
      <w:r>
        <w:rPr>
          <w:rFonts w:ascii="楷体" w:hAnsi="楷体" w:eastAsia="楷体" w:cs="楷体"/>
          <w:spacing w:val="-11"/>
          <w:sz w:val="32"/>
          <w:szCs w:val="32"/>
        </w:rPr>
        <w:t xml:space="preserve">二阶段 ( </w:t>
      </w:r>
      <w:r>
        <w:rPr>
          <w:rFonts w:ascii="宋体" w:hAnsi="宋体" w:eastAsia="宋体" w:cs="宋体"/>
          <w:spacing w:val="-11"/>
          <w:sz w:val="32"/>
          <w:szCs w:val="32"/>
        </w:rPr>
        <w:t xml:space="preserve">6 </w:t>
      </w:r>
      <w:r>
        <w:rPr>
          <w:rFonts w:ascii="楷体" w:hAnsi="楷体" w:eastAsia="楷体" w:cs="楷体"/>
          <w:spacing w:val="-11"/>
          <w:sz w:val="32"/>
          <w:szCs w:val="32"/>
        </w:rPr>
        <w:t xml:space="preserve">月 )： </w:t>
      </w:r>
      <w:r>
        <w:rPr>
          <w:rFonts w:hint="eastAsia" w:ascii="宋体" w:hAnsi="宋体" w:eastAsia="仿宋_GB2312" w:cs="仿宋_GB2312"/>
          <w:b w:val="0"/>
          <w:bCs/>
          <w:color w:val="auto"/>
          <w:sz w:val="32"/>
          <w:szCs w:val="32"/>
          <w:lang w:eastAsia="zh-CN" w:bidi="ar"/>
        </w:rPr>
        <w:t>筹备 6 月中旬举办的全市宣讲大赛，具 体时间地点另行通知。各区市、开发区和有关部门单位按照分配名额 (见附件 1 ) 推荐参赛人员 (近 2 年未参赛选手均可报名)， 填写《参赛人员推荐表》(见附件 2 )，同时，将宣讲稿件、视频以电子版形式于 6 月 1 日前报市委讲师团。联系人：庞瑶，联系电话：5210908，电子邮箱：weihaiswjst@163.com。</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46"/>
        <w:textAlignment w:val="baseline"/>
        <w:rPr>
          <w:rFonts w:hint="eastAsia" w:ascii="宋体" w:hAnsi="宋体" w:eastAsia="仿宋_GB2312" w:cs="仿宋_GB2312"/>
          <w:b w:val="0"/>
          <w:bCs/>
          <w:color w:val="auto"/>
          <w:sz w:val="32"/>
          <w:szCs w:val="32"/>
          <w:lang w:eastAsia="zh-CN" w:bidi="ar"/>
        </w:rPr>
      </w:pPr>
      <w:r>
        <w:rPr>
          <w:rFonts w:ascii="楷体" w:hAnsi="楷体" w:eastAsia="楷体" w:cs="楷体"/>
          <w:spacing w:val="-20"/>
          <w:sz w:val="32"/>
          <w:szCs w:val="32"/>
        </w:rPr>
        <w:t>第</w:t>
      </w:r>
      <w:r>
        <w:rPr>
          <w:rFonts w:ascii="楷体" w:hAnsi="楷体" w:eastAsia="楷体" w:cs="楷体"/>
          <w:spacing w:val="-13"/>
          <w:sz w:val="32"/>
          <w:szCs w:val="32"/>
        </w:rPr>
        <w:t>三</w:t>
      </w:r>
      <w:r>
        <w:rPr>
          <w:rFonts w:ascii="楷体" w:hAnsi="楷体" w:eastAsia="楷体" w:cs="楷体"/>
          <w:spacing w:val="-10"/>
          <w:sz w:val="32"/>
          <w:szCs w:val="32"/>
        </w:rPr>
        <w:t xml:space="preserve">阶段 ( </w:t>
      </w:r>
      <w:r>
        <w:rPr>
          <w:rFonts w:ascii="宋体" w:hAnsi="宋体" w:eastAsia="宋体" w:cs="宋体"/>
          <w:spacing w:val="-10"/>
          <w:sz w:val="32"/>
          <w:szCs w:val="32"/>
        </w:rPr>
        <w:t xml:space="preserve">7 </w:t>
      </w:r>
      <w:r>
        <w:rPr>
          <w:rFonts w:ascii="楷体" w:hAnsi="楷体" w:eastAsia="楷体" w:cs="楷体"/>
          <w:spacing w:val="-10"/>
          <w:sz w:val="32"/>
          <w:szCs w:val="32"/>
        </w:rPr>
        <w:t xml:space="preserve">月至 </w:t>
      </w:r>
      <w:r>
        <w:rPr>
          <w:rFonts w:ascii="宋体" w:hAnsi="宋体" w:eastAsia="宋体" w:cs="宋体"/>
          <w:spacing w:val="-10"/>
          <w:sz w:val="32"/>
          <w:szCs w:val="32"/>
        </w:rPr>
        <w:t xml:space="preserve">12 </w:t>
      </w:r>
      <w:r>
        <w:rPr>
          <w:rFonts w:ascii="楷体" w:hAnsi="楷体" w:eastAsia="楷体" w:cs="楷体"/>
          <w:spacing w:val="-10"/>
          <w:sz w:val="32"/>
          <w:szCs w:val="32"/>
        </w:rPr>
        <w:t xml:space="preserve">月底)： </w:t>
      </w:r>
      <w:r>
        <w:rPr>
          <w:rFonts w:hint="eastAsia" w:ascii="宋体" w:hAnsi="宋体" w:eastAsia="仿宋_GB2312" w:cs="仿宋_GB2312"/>
          <w:b w:val="0"/>
          <w:bCs/>
          <w:color w:val="auto"/>
          <w:sz w:val="32"/>
          <w:szCs w:val="32"/>
          <w:lang w:eastAsia="zh-CN" w:bidi="ar"/>
        </w:rPr>
        <w:t>向省委宣传部、省委讲师团推 荐宣讲比赛优胜者，并组织专门力量对相关作品进行打磨、精炼、升华，参加山东省“中国梦·新时代·新使命”百姓宣讲比赛。遴选优秀宣讲员组建示范宣讲团，分赴各区市、开发区和有关部 门单位进行巡回宣讲。</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6" w:firstLineChars="200"/>
        <w:textAlignment w:val="baseline"/>
        <w:rPr>
          <w:rFonts w:ascii="黑体" w:hAnsi="黑体" w:eastAsia="黑体" w:cs="黑体"/>
          <w:sz w:val="32"/>
          <w:szCs w:val="32"/>
        </w:rPr>
      </w:pPr>
      <w:r>
        <w:rPr>
          <w:rFonts w:ascii="黑体" w:hAnsi="黑体" w:eastAsia="黑体" w:cs="黑体"/>
          <w:spacing w:val="9"/>
          <w:sz w:val="32"/>
          <w:szCs w:val="32"/>
        </w:rPr>
        <w:t>六</w:t>
      </w:r>
      <w:r>
        <w:rPr>
          <w:rFonts w:ascii="黑体" w:hAnsi="黑体" w:eastAsia="黑体" w:cs="黑体"/>
          <w:spacing w:val="6"/>
          <w:sz w:val="32"/>
          <w:szCs w:val="32"/>
        </w:rPr>
        <w:t>、活动要求</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61"/>
        <w:textAlignment w:val="baseline"/>
        <w:rPr>
          <w:rFonts w:hint="eastAsia" w:ascii="宋体" w:hAnsi="宋体" w:eastAsia="仿宋_GB2312" w:cs="仿宋_GB2312"/>
          <w:b w:val="0"/>
          <w:bCs/>
          <w:color w:val="auto"/>
          <w:sz w:val="32"/>
          <w:szCs w:val="32"/>
          <w:lang w:eastAsia="zh-CN" w:bidi="ar"/>
        </w:rPr>
      </w:pPr>
      <w:r>
        <w:rPr>
          <w:rFonts w:ascii="宋体" w:hAnsi="宋体" w:eastAsia="宋体" w:cs="宋体"/>
          <w:spacing w:val="-6"/>
          <w:sz w:val="32"/>
          <w:szCs w:val="32"/>
        </w:rPr>
        <w:t>1.</w:t>
      </w:r>
      <w:r>
        <w:rPr>
          <w:rFonts w:ascii="楷体" w:hAnsi="楷体" w:eastAsia="楷体" w:cs="楷体"/>
          <w:spacing w:val="-6"/>
          <w:sz w:val="32"/>
          <w:szCs w:val="32"/>
        </w:rPr>
        <w:t>加强领导</w:t>
      </w:r>
      <w:r>
        <w:rPr>
          <w:rFonts w:ascii="楷体" w:hAnsi="楷体" w:eastAsia="楷体" w:cs="楷体"/>
          <w:spacing w:val="-4"/>
          <w:sz w:val="32"/>
          <w:szCs w:val="32"/>
        </w:rPr>
        <w:t>，</w:t>
      </w:r>
      <w:r>
        <w:rPr>
          <w:rFonts w:ascii="楷体" w:hAnsi="楷体" w:eastAsia="楷体" w:cs="楷体"/>
          <w:spacing w:val="-3"/>
          <w:sz w:val="32"/>
          <w:szCs w:val="32"/>
        </w:rPr>
        <w:t>高度重视。</w:t>
      </w:r>
      <w:r>
        <w:rPr>
          <w:rFonts w:hint="eastAsia" w:ascii="宋体" w:hAnsi="宋体" w:eastAsia="仿宋_GB2312" w:cs="仿宋_GB2312"/>
          <w:b w:val="0"/>
          <w:bCs/>
          <w:color w:val="auto"/>
          <w:sz w:val="32"/>
          <w:szCs w:val="32"/>
          <w:lang w:eastAsia="zh-CN" w:bidi="ar"/>
        </w:rPr>
        <w:t>活动由市委宣传部会同市委网信办、市委市直机关工委、市委教育工委、市总工会、团市委、市妇联、 市国资委统一安排，市委宣传部理论科、市委讲师团负责落实。各区市、开发区和有关部门单位要提高政治站位、加强统筹部署，把宣讲活动纳入本地区、本部门、本单位全年工作安排，强化宣讲人员政治审查和宣讲稿件、微视频意识形态审核，为活动顺利开展提供有力保障。</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72" w:firstLineChars="200"/>
        <w:textAlignment w:val="baseline"/>
        <w:rPr>
          <w:rFonts w:hint="eastAsia" w:ascii="宋体" w:hAnsi="宋体" w:eastAsia="仿宋_GB2312" w:cs="仿宋_GB2312"/>
          <w:b w:val="0"/>
          <w:bCs/>
          <w:color w:val="auto"/>
          <w:sz w:val="32"/>
          <w:szCs w:val="32"/>
          <w:lang w:eastAsia="zh-CN" w:bidi="ar"/>
        </w:rPr>
      </w:pPr>
      <w:r>
        <w:rPr>
          <w:rFonts w:ascii="宋体" w:hAnsi="宋体" w:eastAsia="宋体" w:cs="宋体"/>
          <w:spacing w:val="8"/>
          <w:sz w:val="32"/>
          <w:szCs w:val="32"/>
        </w:rPr>
        <w:t>2.</w:t>
      </w:r>
      <w:r>
        <w:rPr>
          <w:rFonts w:ascii="楷体" w:hAnsi="楷体" w:eastAsia="楷体" w:cs="楷体"/>
          <w:spacing w:val="8"/>
          <w:sz w:val="32"/>
          <w:szCs w:val="32"/>
        </w:rPr>
        <w:t>精心</w:t>
      </w:r>
      <w:r>
        <w:rPr>
          <w:rFonts w:ascii="楷体" w:hAnsi="楷体" w:eastAsia="楷体" w:cs="楷体"/>
          <w:spacing w:val="7"/>
          <w:sz w:val="32"/>
          <w:szCs w:val="32"/>
        </w:rPr>
        <w:t>组</w:t>
      </w:r>
      <w:r>
        <w:rPr>
          <w:rFonts w:ascii="楷体" w:hAnsi="楷体" w:eastAsia="楷体" w:cs="楷体"/>
          <w:spacing w:val="4"/>
          <w:sz w:val="32"/>
          <w:szCs w:val="32"/>
        </w:rPr>
        <w:t>织，广泛发动。</w:t>
      </w:r>
      <w:r>
        <w:rPr>
          <w:rFonts w:hint="eastAsia" w:ascii="宋体" w:hAnsi="宋体" w:eastAsia="仿宋_GB2312" w:cs="仿宋_GB2312"/>
          <w:b w:val="0"/>
          <w:bCs/>
          <w:color w:val="auto"/>
          <w:sz w:val="32"/>
          <w:szCs w:val="32"/>
          <w:lang w:eastAsia="zh-CN" w:bidi="ar"/>
        </w:rPr>
        <w:t>积极动员社会各界干部群众广泛参与，参赛人员要向普通百姓、基层一线劳动者倾斜。各区市、开发区和有关部门单位要在广泛发动、层层选拔基础上，结合本地区、本系统、本单位实际，有针对性组织宣讲、加强培训，以实战化练兵进一步提升队员宣讲能力和水平。</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95" w:firstLineChars="207"/>
        <w:textAlignment w:val="baseline"/>
        <w:rPr>
          <w:rFonts w:hint="eastAsia" w:ascii="宋体" w:hAnsi="宋体" w:eastAsia="仿宋_GB2312" w:cs="仿宋_GB2312"/>
          <w:b w:val="0"/>
          <w:bCs/>
          <w:color w:val="auto"/>
          <w:sz w:val="32"/>
          <w:szCs w:val="32"/>
          <w:lang w:eastAsia="zh-CN" w:bidi="ar"/>
        </w:rPr>
      </w:pPr>
      <w:r>
        <w:rPr>
          <w:rFonts w:ascii="宋体" w:hAnsi="宋体" w:eastAsia="宋体" w:cs="宋体"/>
          <w:spacing w:val="8"/>
          <w:sz w:val="32"/>
          <w:szCs w:val="32"/>
        </w:rPr>
        <w:t>3.</w:t>
      </w:r>
      <w:r>
        <w:rPr>
          <w:rFonts w:ascii="楷体" w:hAnsi="楷体" w:eastAsia="楷体" w:cs="楷体"/>
          <w:spacing w:val="8"/>
          <w:sz w:val="32"/>
          <w:szCs w:val="32"/>
        </w:rPr>
        <w:t>强化</w:t>
      </w:r>
      <w:r>
        <w:rPr>
          <w:rFonts w:ascii="楷体" w:hAnsi="楷体" w:eastAsia="楷体" w:cs="楷体"/>
          <w:spacing w:val="4"/>
          <w:sz w:val="32"/>
          <w:szCs w:val="32"/>
        </w:rPr>
        <w:t>宣传，营造氛围。</w:t>
      </w:r>
      <w:r>
        <w:rPr>
          <w:rFonts w:hint="eastAsia" w:ascii="宋体" w:hAnsi="宋体" w:eastAsia="仿宋_GB2312" w:cs="仿宋_GB2312"/>
          <w:b w:val="0"/>
          <w:bCs/>
          <w:color w:val="auto"/>
          <w:sz w:val="32"/>
          <w:szCs w:val="32"/>
          <w:lang w:eastAsia="zh-CN" w:bidi="ar"/>
        </w:rPr>
        <w:t>要充分运用各级各类媒体，开辟宣讲专栏，及时宣传报道活动开展情况。广泛运用宣讲比赛直播、优秀宣讲视频展播等方式，扩大比赛影响力、覆盖面。要及时总结活动特色亮点，积极协调上级有关媒体进行宣传报道，以正能量实现大流量，营造浓厚宣传舆论氛围。</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1918" w:leftChars="304" w:right="0" w:hanging="1280" w:hangingChars="400"/>
        <w:textAlignment w:val="baseline"/>
        <w:rPr>
          <w:rFonts w:hint="eastAsia" w:ascii="宋体" w:hAnsi="宋体" w:eastAsia="仿宋_GB2312" w:cs="仿宋_GB2312"/>
          <w:b w:val="0"/>
          <w:bCs/>
          <w:color w:val="auto"/>
          <w:sz w:val="32"/>
          <w:szCs w:val="32"/>
          <w:lang w:eastAsia="zh-CN" w:bidi="ar"/>
        </w:rPr>
      </w:pPr>
      <w:r>
        <w:rPr>
          <w:rFonts w:hint="eastAsia" w:ascii="宋体" w:hAnsi="宋体" w:eastAsia="仿宋_GB2312" w:cs="仿宋_GB2312"/>
          <w:b w:val="0"/>
          <w:bCs/>
          <w:snapToGrid/>
          <w:color w:val="auto"/>
          <w:kern w:val="2"/>
          <w:sz w:val="32"/>
          <w:szCs w:val="32"/>
          <w:lang w:val="en-US" w:eastAsia="zh-CN" w:bidi="ar-SA"/>
        </w:rPr>
        <w:t>附件：“中国梦·新时代·新使命”百姓宣讲大赛参赛人员推荐表</w:t>
      </w: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62" w:firstLineChars="207"/>
        <w:textAlignment w:val="baseline"/>
        <w:rPr>
          <w:rFonts w:hint="eastAsia" w:ascii="宋体" w:hAnsi="宋体" w:eastAsia="仿宋_GB2312" w:cs="仿宋_GB2312"/>
          <w:b w:val="0"/>
          <w:bCs/>
          <w:color w:val="auto"/>
          <w:sz w:val="32"/>
          <w:szCs w:val="32"/>
          <w:lang w:eastAsia="zh-CN" w:bidi="ar"/>
        </w:rPr>
      </w:pPr>
    </w:p>
    <w:p>
      <w:pPr>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662" w:firstLineChars="207"/>
        <w:textAlignment w:val="baseline"/>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p>
    <w:p>
      <w:pPr>
        <w:widowControl/>
        <w:spacing w:line="600" w:lineRule="exact"/>
        <w:jc w:val="center"/>
        <w:rPr>
          <w:rFonts w:hint="eastAsia" w:ascii="宋体" w:hAnsi="宋体" w:eastAsia="方正小标宋简体" w:cs="方正小标宋简体"/>
          <w:b w:val="0"/>
          <w:bCs/>
          <w:spacing w:val="4"/>
          <w:kern w:val="0"/>
          <w:sz w:val="44"/>
          <w:szCs w:val="44"/>
        </w:rPr>
      </w:pPr>
    </w:p>
    <w:p>
      <w:pPr>
        <w:widowControl/>
        <w:spacing w:line="600" w:lineRule="exact"/>
        <w:jc w:val="center"/>
        <w:rPr>
          <w:rFonts w:ascii="宋体" w:hAnsi="宋体" w:eastAsia="方正小标宋简体" w:cs="方正小标宋简体"/>
          <w:b w:val="0"/>
          <w:bCs/>
          <w:spacing w:val="4"/>
          <w:kern w:val="0"/>
          <w:sz w:val="44"/>
          <w:szCs w:val="44"/>
        </w:rPr>
      </w:pPr>
      <w:r>
        <w:rPr>
          <w:rFonts w:hint="eastAsia" w:ascii="宋体" w:hAnsi="宋体" w:eastAsia="方正小标宋简体" w:cs="方正小标宋简体"/>
          <w:b w:val="0"/>
          <w:bCs/>
          <w:spacing w:val="4"/>
          <w:kern w:val="0"/>
          <w:sz w:val="44"/>
          <w:szCs w:val="44"/>
        </w:rPr>
        <w:t>“中国梦·新时代·新使命”百姓宣讲大赛</w:t>
      </w:r>
    </w:p>
    <w:p>
      <w:pPr>
        <w:widowControl/>
        <w:spacing w:line="600" w:lineRule="exact"/>
        <w:jc w:val="center"/>
        <w:rPr>
          <w:rFonts w:ascii="宋体" w:hAnsi="宋体" w:eastAsia="方正小标宋简体"/>
          <w:b w:val="0"/>
          <w:bCs/>
          <w:spacing w:val="4"/>
          <w:kern w:val="0"/>
          <w:sz w:val="44"/>
          <w:szCs w:val="44"/>
        </w:rPr>
      </w:pPr>
      <w:r>
        <w:rPr>
          <w:rFonts w:hint="eastAsia" w:ascii="宋体" w:hAnsi="宋体" w:eastAsia="方正小标宋简体" w:cs="方正小标宋简体"/>
          <w:b w:val="0"/>
          <w:bCs/>
          <w:spacing w:val="4"/>
          <w:kern w:val="0"/>
          <w:sz w:val="44"/>
          <w:szCs w:val="44"/>
        </w:rPr>
        <w:t>参赛人员推荐表</w:t>
      </w:r>
    </w:p>
    <w:p>
      <w:pPr>
        <w:widowControl/>
        <w:spacing w:line="600" w:lineRule="exact"/>
        <w:rPr>
          <w:rFonts w:ascii="宋体" w:hAnsi="宋体" w:eastAsia="仿宋_GB2312"/>
          <w:b w:val="0"/>
          <w:bCs/>
          <w:kern w:val="0"/>
          <w:szCs w:val="30"/>
        </w:rPr>
      </w:pPr>
      <w:r>
        <w:rPr>
          <w:rFonts w:hint="eastAsia" w:ascii="宋体" w:hAnsi="宋体" w:eastAsia="楷体" w:cs="楷体"/>
          <w:b w:val="0"/>
          <w:bCs/>
          <w:kern w:val="0"/>
          <w:sz w:val="28"/>
          <w:szCs w:val="28"/>
        </w:rPr>
        <w:t>推荐单位：（盖章）</w:t>
      </w:r>
    </w:p>
    <w:tbl>
      <w:tblPr>
        <w:tblStyle w:val="3"/>
        <w:tblW w:w="9068" w:type="dxa"/>
        <w:jc w:val="center"/>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Layout w:type="fixed"/>
        <w:tblCellMar>
          <w:top w:w="0" w:type="dxa"/>
          <w:left w:w="0" w:type="dxa"/>
          <w:bottom w:w="0" w:type="dxa"/>
          <w:right w:w="0" w:type="dxa"/>
        </w:tblCellMar>
      </w:tblPr>
      <w:tblGrid>
        <w:gridCol w:w="1236"/>
        <w:gridCol w:w="1045"/>
        <w:gridCol w:w="424"/>
        <w:gridCol w:w="406"/>
        <w:gridCol w:w="293"/>
        <w:gridCol w:w="748"/>
        <w:gridCol w:w="143"/>
        <w:gridCol w:w="657"/>
        <w:gridCol w:w="111"/>
        <w:gridCol w:w="823"/>
        <w:gridCol w:w="378"/>
        <w:gridCol w:w="830"/>
        <w:gridCol w:w="1162"/>
        <w:gridCol w:w="812"/>
      </w:tblGrid>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557" w:hRule="atLeast"/>
          <w:jc w:val="center"/>
        </w:trPr>
        <w:tc>
          <w:tcPr>
            <w:tcW w:w="1236" w:type="dxa"/>
            <w:tcBorders>
              <w:top w:val="single" w:color="auto" w:sz="4" w:space="0"/>
              <w:left w:val="single" w:color="auto" w:sz="4" w:space="0"/>
              <w:bottom w:val="single" w:color="auto" w:sz="4" w:space="0"/>
              <w:right w:val="single" w:color="auto" w:sz="4" w:space="0"/>
            </w:tcBorders>
            <w:noWrap w:val="0"/>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姓  名</w:t>
            </w:r>
          </w:p>
        </w:tc>
        <w:tc>
          <w:tcPr>
            <w:tcW w:w="1469" w:type="dxa"/>
            <w:gridSpan w:val="2"/>
            <w:tcBorders>
              <w:top w:val="single" w:color="auto" w:sz="4" w:space="0"/>
              <w:left w:val="single" w:color="auto" w:sz="4" w:space="0"/>
              <w:bottom w:val="single" w:color="auto" w:sz="4" w:space="0"/>
              <w:right w:val="single" w:color="auto" w:sz="4" w:space="0"/>
            </w:tcBorders>
            <w:noWrap w:val="0"/>
            <w:vAlign w:val="center"/>
          </w:tcPr>
          <w:p>
            <w:pPr>
              <w:spacing w:line="600" w:lineRule="exact"/>
              <w:ind w:firstLine="480"/>
              <w:jc w:val="center"/>
              <w:rPr>
                <w:rFonts w:ascii="宋体" w:hAnsi="宋体" w:eastAsia="黑体"/>
                <w:b w:val="0"/>
                <w:bCs/>
                <w:spacing w:val="-8"/>
                <w:sz w:val="24"/>
              </w:rPr>
            </w:pPr>
          </w:p>
        </w:tc>
        <w:tc>
          <w:tcPr>
            <w:tcW w:w="699"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性别</w:t>
            </w:r>
          </w:p>
        </w:tc>
        <w:tc>
          <w:tcPr>
            <w:tcW w:w="89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c>
          <w:tcPr>
            <w:tcW w:w="768"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年龄</w:t>
            </w:r>
          </w:p>
        </w:tc>
        <w:tc>
          <w:tcPr>
            <w:tcW w:w="823"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p>
        </w:tc>
        <w:tc>
          <w:tcPr>
            <w:tcW w:w="1208"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政治面貌</w:t>
            </w:r>
          </w:p>
        </w:tc>
        <w:tc>
          <w:tcPr>
            <w:tcW w:w="1974"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598" w:hRule="atLeast"/>
          <w:jc w:val="center"/>
        </w:trPr>
        <w:tc>
          <w:tcPr>
            <w:tcW w:w="1236"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单位职务</w:t>
            </w:r>
          </w:p>
        </w:tc>
        <w:tc>
          <w:tcPr>
            <w:tcW w:w="4650" w:type="dxa"/>
            <w:gridSpan w:val="9"/>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c>
          <w:tcPr>
            <w:tcW w:w="1208"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联系方式</w:t>
            </w:r>
          </w:p>
        </w:tc>
        <w:tc>
          <w:tcPr>
            <w:tcW w:w="1974"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639" w:hRule="atLeast"/>
          <w:jc w:val="center"/>
        </w:trPr>
        <w:tc>
          <w:tcPr>
            <w:tcW w:w="1236"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宣讲题目</w:t>
            </w:r>
          </w:p>
        </w:tc>
        <w:tc>
          <w:tcPr>
            <w:tcW w:w="7832" w:type="dxa"/>
            <w:gridSpan w:val="1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666" w:hRule="atLeast"/>
          <w:jc w:val="center"/>
        </w:trPr>
        <w:tc>
          <w:tcPr>
            <w:tcW w:w="1236"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宣讲类别</w:t>
            </w:r>
          </w:p>
        </w:tc>
        <w:tc>
          <w:tcPr>
            <w:tcW w:w="1045"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b w:val="0"/>
                <w:bCs/>
                <w:spacing w:val="-8"/>
                <w:sz w:val="24"/>
              </w:rPr>
              <w:t>理论类</w:t>
            </w:r>
          </w:p>
        </w:tc>
        <w:tc>
          <w:tcPr>
            <w:tcW w:w="830"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cs="黑体"/>
                <w:b w:val="0"/>
                <w:bCs/>
                <w:spacing w:val="-8"/>
                <w:sz w:val="24"/>
              </w:rPr>
            </w:pPr>
          </w:p>
        </w:tc>
        <w:tc>
          <w:tcPr>
            <w:tcW w:w="1041"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cs="黑体"/>
                <w:b w:val="0"/>
                <w:bCs/>
                <w:spacing w:val="-8"/>
                <w:sz w:val="24"/>
              </w:rPr>
            </w:pPr>
            <w:r>
              <w:rPr>
                <w:rFonts w:hint="eastAsia" w:ascii="宋体" w:hAnsi="宋体" w:eastAsia="黑体" w:cs="黑体"/>
                <w:b w:val="0"/>
                <w:bCs/>
                <w:spacing w:val="-8"/>
                <w:sz w:val="24"/>
              </w:rPr>
              <w:t>故事类</w:t>
            </w:r>
          </w:p>
        </w:tc>
        <w:tc>
          <w:tcPr>
            <w:tcW w:w="800" w:type="dxa"/>
            <w:gridSpan w:val="2"/>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c>
          <w:tcPr>
            <w:tcW w:w="1312" w:type="dxa"/>
            <w:gridSpan w:val="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曲艺类</w:t>
            </w:r>
          </w:p>
        </w:tc>
        <w:tc>
          <w:tcPr>
            <w:tcW w:w="830"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c>
          <w:tcPr>
            <w:tcW w:w="116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视频类</w:t>
            </w:r>
          </w:p>
        </w:tc>
        <w:tc>
          <w:tcPr>
            <w:tcW w:w="812"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ind w:firstLine="480"/>
              <w:jc w:val="center"/>
              <w:rPr>
                <w:rFonts w:ascii="宋体" w:hAnsi="宋体" w:eastAsia="黑体"/>
                <w:b w:val="0"/>
                <w:bCs/>
                <w:spacing w:val="-8"/>
                <w:sz w:val="24"/>
              </w:rPr>
            </w:pP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5954" w:hRule="atLeast"/>
          <w:jc w:val="center"/>
        </w:trPr>
        <w:tc>
          <w:tcPr>
            <w:tcW w:w="1236"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r>
              <w:rPr>
                <w:rFonts w:hint="eastAsia" w:ascii="宋体" w:hAnsi="宋体" w:eastAsia="黑体" w:cs="黑体"/>
                <w:b w:val="0"/>
                <w:bCs/>
                <w:spacing w:val="-8"/>
                <w:sz w:val="24"/>
              </w:rPr>
              <w:t>宣讲内容简    介</w:t>
            </w:r>
          </w:p>
        </w:tc>
        <w:tc>
          <w:tcPr>
            <w:tcW w:w="7832" w:type="dxa"/>
            <w:gridSpan w:val="1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b w:val="0"/>
                <w:bCs/>
                <w:spacing w:val="-8"/>
                <w:sz w:val="24"/>
              </w:rPr>
            </w:pPr>
          </w:p>
        </w:tc>
      </w:tr>
      <w:tr>
        <w:tblPrEx>
          <w:tblBorders>
            <w:top w:val="single" w:color="000000" w:sz="6" w:space="0"/>
            <w:left w:val="single" w:color="000000" w:sz="6" w:space="0"/>
            <w:bottom w:val="single" w:color="000000" w:sz="6" w:space="0"/>
            <w:right w:val="single" w:color="000000" w:sz="6" w:space="0"/>
            <w:insideH w:val="none" w:color="auto" w:sz="0" w:space="0"/>
            <w:insideV w:val="none" w:color="auto" w:sz="0" w:space="0"/>
          </w:tblBorders>
          <w:tblCellMar>
            <w:top w:w="0" w:type="dxa"/>
            <w:left w:w="0" w:type="dxa"/>
            <w:bottom w:w="0" w:type="dxa"/>
            <w:right w:w="0" w:type="dxa"/>
          </w:tblCellMar>
        </w:tblPrEx>
        <w:trPr>
          <w:trHeight w:val="1546" w:hRule="atLeast"/>
          <w:jc w:val="center"/>
        </w:trPr>
        <w:tc>
          <w:tcPr>
            <w:tcW w:w="1236" w:type="dxa"/>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600" w:lineRule="exact"/>
              <w:jc w:val="center"/>
              <w:rPr>
                <w:rFonts w:ascii="宋体" w:hAnsi="宋体" w:eastAsia="黑体" w:cs="黑体"/>
                <w:b w:val="0"/>
                <w:bCs/>
                <w:spacing w:val="-8"/>
                <w:sz w:val="24"/>
              </w:rPr>
            </w:pPr>
            <w:r>
              <w:rPr>
                <w:rFonts w:hint="eastAsia" w:ascii="宋体" w:hAnsi="宋体" w:eastAsia="黑体" w:cs="黑体"/>
                <w:b w:val="0"/>
                <w:bCs/>
                <w:spacing w:val="-8"/>
                <w:sz w:val="24"/>
              </w:rPr>
              <w:t>说明</w:t>
            </w:r>
          </w:p>
        </w:tc>
        <w:tc>
          <w:tcPr>
            <w:tcW w:w="7832" w:type="dxa"/>
            <w:gridSpan w:val="13"/>
            <w:tcBorders>
              <w:top w:val="single" w:color="auto" w:sz="4" w:space="0"/>
              <w:left w:val="single" w:color="auto" w:sz="4" w:space="0"/>
              <w:bottom w:val="single" w:color="auto" w:sz="4" w:space="0"/>
              <w:right w:val="single" w:color="auto" w:sz="4" w:space="0"/>
            </w:tcBorders>
            <w:noWrap w:val="0"/>
            <w:tcMar>
              <w:top w:w="0" w:type="dxa"/>
              <w:left w:w="108" w:type="dxa"/>
              <w:bottom w:w="0" w:type="dxa"/>
              <w:right w:w="108" w:type="dxa"/>
            </w:tcMar>
            <w:vAlign w:val="center"/>
          </w:tcPr>
          <w:p>
            <w:pPr>
              <w:spacing w:line="520" w:lineRule="exact"/>
              <w:jc w:val="left"/>
              <w:rPr>
                <w:rFonts w:ascii="宋体" w:hAnsi="宋体" w:eastAsia="楷体_GB2312" w:cs="楷体_GB2312"/>
                <w:b w:val="0"/>
                <w:bCs/>
                <w:kern w:val="0"/>
                <w:sz w:val="28"/>
                <w:szCs w:val="28"/>
              </w:rPr>
            </w:pPr>
            <w:r>
              <w:rPr>
                <w:rFonts w:hint="eastAsia" w:ascii="宋体" w:hAnsi="宋体" w:eastAsia="楷体_GB2312" w:cs="楷体_GB2312"/>
                <w:b w:val="0"/>
                <w:bCs/>
                <w:kern w:val="0"/>
                <w:sz w:val="28"/>
                <w:szCs w:val="28"/>
              </w:rPr>
              <w:t>1.宣讲类别一栏，请在相应类别后划√。</w:t>
            </w:r>
          </w:p>
          <w:p>
            <w:pPr>
              <w:spacing w:line="520" w:lineRule="exact"/>
              <w:jc w:val="left"/>
              <w:rPr>
                <w:rFonts w:ascii="宋体" w:hAnsi="宋体" w:eastAsia="楷体_GB2312" w:cs="楷体_GB2312"/>
                <w:b w:val="0"/>
                <w:bCs/>
                <w:kern w:val="0"/>
                <w:sz w:val="28"/>
                <w:szCs w:val="28"/>
              </w:rPr>
            </w:pPr>
            <w:r>
              <w:rPr>
                <w:rFonts w:hint="eastAsia" w:ascii="宋体" w:hAnsi="宋体" w:eastAsia="楷体_GB2312" w:cs="楷体_GB2312"/>
                <w:b w:val="0"/>
                <w:bCs/>
                <w:kern w:val="0"/>
                <w:sz w:val="28"/>
                <w:szCs w:val="28"/>
              </w:rPr>
              <w:t>2.视频类填写策划、制作或者主创人员。</w:t>
            </w:r>
          </w:p>
          <w:p>
            <w:pPr>
              <w:spacing w:line="520" w:lineRule="exact"/>
              <w:jc w:val="left"/>
              <w:rPr>
                <w:rFonts w:ascii="宋体" w:hAnsi="宋体" w:eastAsia="黑体"/>
                <w:b w:val="0"/>
                <w:bCs/>
                <w:spacing w:val="-8"/>
                <w:sz w:val="24"/>
              </w:rPr>
            </w:pPr>
            <w:r>
              <w:rPr>
                <w:rFonts w:hint="eastAsia" w:ascii="宋体" w:hAnsi="宋体" w:eastAsia="楷体_GB2312" w:cs="楷体_GB2312"/>
                <w:b w:val="0"/>
                <w:bCs/>
                <w:kern w:val="0"/>
                <w:sz w:val="28"/>
                <w:szCs w:val="28"/>
              </w:rPr>
              <w:t>3.此表可复印。</w:t>
            </w:r>
          </w:p>
        </w:tc>
      </w:tr>
    </w:tbl>
    <w:p>
      <w:pPr>
        <w:pStyle w:val="2"/>
        <w:rPr>
          <w:rFonts w:hint="eastAsia" w:ascii="宋体" w:hAnsi="宋体" w:eastAsia="仿宋_GB2312" w:cs="仿宋_GB2312"/>
          <w:b w:val="0"/>
          <w:bCs/>
          <w:color w:val="auto"/>
          <w:sz w:val="32"/>
          <w:szCs w:val="32"/>
          <w:lang w:eastAsia="zh-CN" w:bidi="ar"/>
        </w:rPr>
      </w:pPr>
    </w:p>
    <w:p>
      <w:pPr>
        <w:pStyle w:val="2"/>
        <w:rPr>
          <w:rFonts w:hint="eastAsia" w:ascii="宋体" w:hAnsi="宋体" w:eastAsia="仿宋_GB2312" w:cs="仿宋_GB2312"/>
          <w:b w:val="0"/>
          <w:bCs/>
          <w:color w:val="auto"/>
          <w:sz w:val="32"/>
          <w:szCs w:val="32"/>
          <w:lang w:eastAsia="zh-CN" w:bidi="ar"/>
        </w:rPr>
      </w:pPr>
      <w:bookmarkStart w:id="0" w:name="_GoBack"/>
      <w:bookmarkEnd w:id="0"/>
    </w:p>
    <w:sectPr>
      <w:footerReference r:id="rId5" w:type="default"/>
      <w:pgSz w:w="11906" w:h="16838"/>
      <w:pgMar w:top="1701" w:right="1587" w:bottom="1417" w:left="1587" w:header="0" w:footer="1121"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
    <w:altName w:val="方正楷体_GBK"/>
    <w:panose1 w:val="02010609060101010101"/>
    <w:charset w:val="86"/>
    <w:family w:val="auto"/>
    <w:pitch w:val="default"/>
    <w:sig w:usb0="00000000" w:usb1="00000000" w:usb2="00000016" w:usb3="00000000" w:csb0="00040001" w:csb1="00000000"/>
  </w:font>
  <w:font w:name="Nimbus Roman No9 L">
    <w:panose1 w:val="00000000000000000000"/>
    <w:charset w:val="00"/>
    <w:family w:val="auto"/>
    <w:pitch w:val="default"/>
    <w:sig w:usb0="00000000" w:usb1="00000000" w:usb2="00000000" w:usb3="00000000" w:csb0="0000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方正仿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00"/>
    <w:family w:val="modern"/>
    <w:pitch w:val="default"/>
    <w:sig w:usb0="00000000" w:usb1="00000000" w:usb2="00000000" w:usb3="00000000" w:csb0="00040000" w:csb1="00000000"/>
  </w:font>
  <w:font w:name="楷体">
    <w:altName w:val="方正楷体_GBK"/>
    <w:panose1 w:val="02010609060101010101"/>
    <w:charset w:val="00"/>
    <w:family w:val="modern"/>
    <w:pitch w:val="default"/>
    <w:sig w:usb0="00000000" w:usb1="00000000" w:usb2="00000016" w:usb3="00000000" w:csb0="00040001" w:csb1="00000000"/>
  </w:font>
  <w:font w:name="楷体_GB2312">
    <w:altName w:val="方正楷体_GBK"/>
    <w:panose1 w:val="02010609030101010101"/>
    <w:charset w:val="00"/>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1" w:lineRule="auto"/>
      <w:ind w:right="418"/>
      <w:jc w:val="right"/>
      <w:rPr>
        <w:rFonts w:ascii="宋体" w:hAnsi="宋体" w:eastAsia="宋体" w:cs="宋体"/>
        <w:sz w:val="28"/>
        <w:szCs w:val="28"/>
      </w:rPr>
    </w:pPr>
    <w:r>
      <w:rPr>
        <w:rFonts w:ascii="宋体" w:hAnsi="宋体" w:eastAsia="宋体" w:cs="宋体"/>
        <w:spacing w:val="-9"/>
        <w:sz w:val="28"/>
        <w:szCs w:val="28"/>
      </w:rPr>
      <w:t>—</w:t>
    </w:r>
    <w:r>
      <w:rPr>
        <w:rFonts w:ascii="宋体" w:hAnsi="宋体" w:eastAsia="宋体" w:cs="宋体"/>
        <w:spacing w:val="18"/>
        <w:sz w:val="28"/>
        <w:szCs w:val="28"/>
      </w:rPr>
      <w:t xml:space="preserve"> </w:t>
    </w:r>
    <w:r>
      <w:rPr>
        <w:rFonts w:ascii="宋体" w:hAnsi="宋体" w:eastAsia="宋体" w:cs="宋体"/>
        <w:spacing w:val="-9"/>
        <w:sz w:val="28"/>
        <w:szCs w:val="28"/>
      </w:rPr>
      <w:t>5</w:t>
    </w:r>
    <w:r>
      <w:rPr>
        <w:rFonts w:ascii="宋体" w:hAnsi="宋体" w:eastAsia="宋体" w:cs="宋体"/>
        <w:spacing w:val="8"/>
        <w:sz w:val="28"/>
        <w:szCs w:val="28"/>
      </w:rPr>
      <w:t xml:space="preserve"> </w:t>
    </w:r>
    <w:r>
      <w:rPr>
        <w:rFonts w:ascii="宋体" w:hAnsi="宋体" w:eastAsia="宋体" w:cs="宋体"/>
        <w:spacing w:val="-9"/>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true"/>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2E0MzJmZDQwZjA3NjMxMjg5MDY0NzYyMTQ0YTA0ZGIifQ=="/>
  </w:docVars>
  <w:rsids>
    <w:rsidRoot w:val="00000000"/>
    <w:rsid w:val="1D5147F2"/>
    <w:rsid w:val="673EBB97"/>
    <w:rsid w:val="6FDF8E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line="620" w:lineRule="exact"/>
      <w:ind w:firstLine="723" w:firstLineChars="200"/>
    </w:pPr>
    <w:rPr>
      <w:rFonts w:ascii="黑体" w:eastAsia="黑体"/>
      <w:b/>
      <w:bCs/>
      <w:sz w:val="36"/>
      <w:szCs w:val="24"/>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Pages>
  <Words>2293</Words>
  <Characters>2332</Characters>
  <TotalTime>0</TotalTime>
  <ScaleCrop>false</ScaleCrop>
  <LinksUpToDate>false</LinksUpToDate>
  <CharactersWithSpaces>2560</CharactersWithSpaces>
  <Application>WPS Office_11.8.2.10386_F1E327BC-269C-435d-A152-05C5408002CA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2023-03-18T09:40:00Z</dcterms:created>
  <dc:creator>Administrator</dc:creator>
  <cp:lastModifiedBy>user</cp:lastModifiedBy>
  <dcterms:modified xsi:type="dcterms:W3CDTF">2023-03-21T11:21:35Z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2023-03-21T09:18:26Z</vt:filetime>
  </property>
  <property fmtid="{D5CDD505-2E9C-101B-9397-08002B2CF9AE}" pid="4" name="KSOProductBuildVer">
    <vt:lpwstr>2052-11.8.2.10386</vt:lpwstr>
  </property>
  <property fmtid="{D5CDD505-2E9C-101B-9397-08002B2CF9AE}" pid="5" name="ICV">
    <vt:lpwstr>A3FC074D510040278716EFFD05FC3226</vt:lpwstr>
  </property>
</Properties>
</file>