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center"/>
        <w:rPr>
          <w:b/>
          <w:snapToGrid w:val="0"/>
          <w:kern w:val="0"/>
          <w:sz w:val="36"/>
          <w:szCs w:val="36"/>
        </w:rPr>
      </w:pPr>
    </w:p>
    <w:p>
      <w:pPr>
        <w:spacing w:line="500" w:lineRule="exact"/>
        <w:jc w:val="center"/>
        <w:rPr>
          <w:rFonts w:cs="宋体"/>
          <w:b/>
          <w:snapToGrid w:val="0"/>
          <w:kern w:val="0"/>
          <w:sz w:val="36"/>
          <w:szCs w:val="36"/>
        </w:rPr>
      </w:pPr>
      <w:r>
        <w:rPr>
          <w:rFonts w:cs="宋体"/>
          <w:b/>
          <w:snapToGrid w:val="0"/>
          <w:kern w:val="0"/>
          <w:sz w:val="36"/>
          <w:szCs w:val="36"/>
        </w:rPr>
        <w:t xml:space="preserve"> </w:t>
      </w:r>
    </w:p>
    <w:p>
      <w:pPr>
        <w:spacing w:line="500" w:lineRule="exact"/>
        <w:jc w:val="center"/>
        <w:rPr>
          <w:rFonts w:cs="宋体"/>
          <w:b/>
          <w:snapToGrid w:val="0"/>
          <w:kern w:val="0"/>
          <w:sz w:val="36"/>
          <w:szCs w:val="36"/>
        </w:rPr>
      </w:pPr>
      <w:r>
        <w:rPr>
          <w:rFonts w:cs="宋体"/>
          <w:b/>
          <w:snapToGrid w:val="0"/>
          <w:kern w:val="0"/>
          <w:sz w:val="36"/>
          <w:szCs w:val="36"/>
        </w:rPr>
        <w:t xml:space="preserve"> </w:t>
      </w:r>
    </w:p>
    <w:p>
      <w:pPr>
        <w:spacing w:line="500" w:lineRule="exact"/>
        <w:jc w:val="center"/>
        <w:rPr>
          <w:rFonts w:cs="宋体"/>
          <w:b/>
          <w:snapToGrid w:val="0"/>
          <w:kern w:val="0"/>
          <w:sz w:val="36"/>
          <w:szCs w:val="36"/>
        </w:rPr>
      </w:pPr>
      <w:r>
        <w:rPr>
          <w:rFonts w:cs="宋体"/>
          <w:b/>
          <w:snapToGrid w:val="0"/>
          <w:kern w:val="0"/>
          <w:sz w:val="36"/>
          <w:szCs w:val="36"/>
        </w:rPr>
        <w:t xml:space="preserve"> </w:t>
      </w:r>
    </w:p>
    <w:p>
      <w:pPr>
        <w:spacing w:line="500" w:lineRule="exact"/>
        <w:jc w:val="center"/>
        <w:rPr>
          <w:rFonts w:cs="宋体"/>
          <w:b/>
          <w:snapToGrid w:val="0"/>
          <w:kern w:val="0"/>
          <w:sz w:val="36"/>
          <w:szCs w:val="36"/>
        </w:rPr>
      </w:pPr>
      <w:r>
        <w:rPr>
          <w:rFonts w:cs="宋体"/>
          <w:b/>
          <w:snapToGrid w:val="0"/>
          <w:kern w:val="0"/>
          <w:sz w:val="36"/>
          <w:szCs w:val="36"/>
        </w:rPr>
        <w:t xml:space="preserve"> </w:t>
      </w:r>
    </w:p>
    <w:p>
      <w:pPr>
        <w:spacing w:line="440" w:lineRule="exact"/>
        <w:jc w:val="center"/>
        <w:rPr>
          <w:rFonts w:cs="宋体"/>
          <w:b/>
          <w:snapToGrid w:val="0"/>
          <w:kern w:val="0"/>
          <w:sz w:val="36"/>
          <w:szCs w:val="36"/>
        </w:rPr>
      </w:pPr>
      <w:r>
        <w:rPr>
          <w:rFonts w:cs="宋体"/>
          <w:b/>
          <w:snapToGrid w:val="0"/>
          <w:kern w:val="0"/>
          <w:sz w:val="36"/>
          <w:szCs w:val="36"/>
        </w:rPr>
        <w:t xml:space="preserve"> </w:t>
      </w:r>
    </w:p>
    <w:p>
      <w:pPr>
        <w:spacing w:line="440" w:lineRule="exact"/>
        <w:jc w:val="center"/>
        <w:rPr>
          <w:rFonts w:cs="宋体"/>
          <w:b/>
          <w:snapToGrid w:val="0"/>
          <w:kern w:val="0"/>
          <w:sz w:val="36"/>
          <w:szCs w:val="36"/>
        </w:rPr>
      </w:pPr>
      <w:r>
        <w:rPr>
          <w:rFonts w:cs="宋体"/>
          <w:b/>
          <w:snapToGrid w:val="0"/>
          <w:kern w:val="0"/>
          <w:sz w:val="36"/>
          <w:szCs w:val="36"/>
        </w:rPr>
        <w:t xml:space="preserve"> </w:t>
      </w:r>
    </w:p>
    <w:p>
      <w:pPr>
        <w:jc w:val="center"/>
        <w:rPr>
          <w:rFonts w:ascii="仿宋" w:hAnsi="仿宋" w:eastAsia="仿宋"/>
          <w:b/>
          <w:snapToGrid w:val="0"/>
          <w:kern w:val="0"/>
          <w:sz w:val="32"/>
          <w:szCs w:val="32"/>
        </w:rPr>
      </w:pPr>
      <w:r>
        <w:rPr>
          <w:rFonts w:hint="eastAsia" w:ascii="仿宋" w:hAnsi="仿宋" w:eastAsia="仿宋" w:cs="宋体"/>
          <w:b/>
          <w:snapToGrid w:val="0"/>
          <w:kern w:val="0"/>
          <w:sz w:val="32"/>
          <w:szCs w:val="32"/>
        </w:rPr>
        <w:t>鲁会办〔</w:t>
      </w:r>
      <w:r>
        <w:rPr>
          <w:rFonts w:ascii="仿宋" w:hAnsi="仿宋" w:eastAsia="仿宋" w:cs="宋体"/>
          <w:b/>
          <w:snapToGrid w:val="0"/>
          <w:kern w:val="0"/>
          <w:sz w:val="32"/>
          <w:szCs w:val="32"/>
        </w:rPr>
        <w:t>2019</w:t>
      </w:r>
      <w:r>
        <w:rPr>
          <w:rFonts w:hint="eastAsia" w:ascii="仿宋" w:hAnsi="仿宋" w:eastAsia="仿宋" w:cs="宋体"/>
          <w:b/>
          <w:snapToGrid w:val="0"/>
          <w:kern w:val="0"/>
          <w:sz w:val="32"/>
          <w:szCs w:val="32"/>
        </w:rPr>
        <w:t>〕</w:t>
      </w:r>
      <w:r>
        <w:rPr>
          <w:rFonts w:ascii="仿宋" w:hAnsi="仿宋" w:eastAsia="仿宋" w:cs="宋体"/>
          <w:b/>
          <w:snapToGrid w:val="0"/>
          <w:kern w:val="0"/>
          <w:sz w:val="32"/>
          <w:szCs w:val="32"/>
        </w:rPr>
        <w:t>4</w:t>
      </w:r>
      <w:r>
        <w:rPr>
          <w:rFonts w:hint="eastAsia" w:ascii="仿宋" w:hAnsi="仿宋" w:eastAsia="仿宋" w:cs="宋体"/>
          <w:b/>
          <w:snapToGrid w:val="0"/>
          <w:kern w:val="0"/>
          <w:sz w:val="32"/>
          <w:szCs w:val="32"/>
        </w:rPr>
        <w:t>号</w:t>
      </w:r>
    </w:p>
    <w:p>
      <w:pPr>
        <w:spacing w:line="560" w:lineRule="exact"/>
        <w:rPr>
          <w:rFonts w:ascii="方正小标宋简体" w:eastAsia="方正小标宋简体" w:cs="宋体"/>
          <w:b/>
          <w:snapToGrid w:val="0"/>
          <w:kern w:val="0"/>
          <w:sz w:val="44"/>
          <w:szCs w:val="44"/>
        </w:rPr>
      </w:pPr>
      <w:r>
        <w:rPr>
          <w:rFonts w:ascii="方正小标宋简体" w:eastAsia="方正小标宋简体" w:cs="宋体"/>
          <w:b/>
          <w:snapToGrid w:val="0"/>
          <w:kern w:val="0"/>
          <w:sz w:val="44"/>
          <w:szCs w:val="44"/>
        </w:rPr>
        <w:t xml:space="preserve"> </w:t>
      </w:r>
    </w:p>
    <w:p>
      <w:pPr>
        <w:spacing w:line="560" w:lineRule="exact"/>
        <w:rPr>
          <w:rFonts w:ascii="方正小标宋简体" w:eastAsia="方正小标宋简体" w:cs="宋体"/>
          <w:b/>
          <w:snapToGrid w:val="0"/>
          <w:kern w:val="0"/>
          <w:sz w:val="44"/>
          <w:szCs w:val="44"/>
        </w:rPr>
      </w:pPr>
      <w:r>
        <w:rPr>
          <w:rFonts w:ascii="方正小标宋简体" w:eastAsia="方正小标宋简体" w:cs="宋体"/>
          <w:b/>
          <w:snapToGrid w:val="0"/>
          <w:kern w:val="0"/>
          <w:sz w:val="44"/>
          <w:szCs w:val="44"/>
        </w:rPr>
        <w:t xml:space="preserve"> </w:t>
      </w:r>
    </w:p>
    <w:p>
      <w:pPr>
        <w:spacing w:line="700" w:lineRule="exact"/>
        <w:jc w:val="center"/>
        <w:rPr>
          <w:rFonts w:ascii="方正小标宋简体" w:eastAsia="方正小标宋简体"/>
          <w:b/>
          <w:sz w:val="44"/>
          <w:szCs w:val="44"/>
        </w:rPr>
      </w:pPr>
      <w:r>
        <w:rPr>
          <w:rFonts w:hint="eastAsia" w:ascii="方正小标宋简体" w:eastAsia="方正小标宋简体"/>
          <w:b/>
          <w:sz w:val="44"/>
          <w:szCs w:val="44"/>
        </w:rPr>
        <w:t>关于印发《山东省工会送温暖资金使用</w:t>
      </w:r>
    </w:p>
    <w:p>
      <w:pPr>
        <w:spacing w:line="700" w:lineRule="exact"/>
        <w:jc w:val="center"/>
        <w:rPr>
          <w:rFonts w:ascii="方正小标宋简体" w:eastAsia="方正小标宋简体"/>
          <w:b/>
          <w:sz w:val="44"/>
          <w:szCs w:val="44"/>
        </w:rPr>
      </w:pPr>
      <w:r>
        <w:rPr>
          <w:rFonts w:hint="eastAsia" w:ascii="方正小标宋简体" w:eastAsia="方正小标宋简体"/>
          <w:b/>
          <w:sz w:val="44"/>
          <w:szCs w:val="44"/>
        </w:rPr>
        <w:t>管理办法（试行）》的通知</w:t>
      </w:r>
    </w:p>
    <w:p>
      <w:pPr>
        <w:spacing w:line="580" w:lineRule="exact"/>
        <w:rPr>
          <w:rFonts w:ascii="楷体_GB2312" w:hAnsi="仿宋" w:eastAsia="楷体_GB2312"/>
          <w:b/>
          <w:sz w:val="32"/>
          <w:szCs w:val="32"/>
        </w:rPr>
      </w:pPr>
    </w:p>
    <w:p>
      <w:pPr>
        <w:spacing w:line="580" w:lineRule="exact"/>
        <w:rPr>
          <w:rFonts w:ascii="楷体_GB2312" w:hAnsi="仿宋" w:eastAsia="楷体_GB2312"/>
          <w:b/>
          <w:sz w:val="32"/>
          <w:szCs w:val="32"/>
        </w:rPr>
      </w:pPr>
      <w:r>
        <w:rPr>
          <w:rFonts w:hint="eastAsia" w:ascii="楷体_GB2312" w:hAnsi="仿宋" w:eastAsia="楷体_GB2312"/>
          <w:b/>
          <w:sz w:val="32"/>
          <w:szCs w:val="32"/>
        </w:rPr>
        <w:t>各市总工会，省产业工会，大企业工会，省直机关工会：</w:t>
      </w:r>
    </w:p>
    <w:p>
      <w:pPr>
        <w:spacing w:line="580" w:lineRule="exact"/>
        <w:ind w:firstLine="643" w:firstLineChars="200"/>
        <w:rPr>
          <w:rFonts w:ascii="楷体_GB2312" w:hAnsi="仿宋" w:eastAsia="楷体_GB2312"/>
          <w:b/>
          <w:sz w:val="32"/>
          <w:szCs w:val="32"/>
        </w:rPr>
      </w:pPr>
      <w:r>
        <w:rPr>
          <w:rFonts w:hint="eastAsia" w:ascii="楷体_GB2312" w:hAnsi="仿宋" w:eastAsia="楷体_GB2312"/>
          <w:b/>
          <w:sz w:val="32"/>
          <w:szCs w:val="32"/>
        </w:rPr>
        <w:t>《山东省工会送温暖资金使用管理办法（试行）》已经省总工会党组</w:t>
      </w:r>
      <w:r>
        <w:rPr>
          <w:rFonts w:ascii="楷体_GB2312" w:hAnsi="仿宋" w:eastAsia="楷体_GB2312"/>
          <w:b/>
          <w:sz w:val="32"/>
          <w:szCs w:val="32"/>
        </w:rPr>
        <w:t>15</w:t>
      </w:r>
      <w:r>
        <w:rPr>
          <w:rFonts w:hint="eastAsia" w:ascii="楷体_GB2312" w:hAnsi="仿宋" w:eastAsia="楷体_GB2312"/>
          <w:b/>
          <w:sz w:val="32"/>
          <w:szCs w:val="32"/>
        </w:rPr>
        <w:t>届</w:t>
      </w:r>
      <w:r>
        <w:rPr>
          <w:rFonts w:ascii="楷体_GB2312" w:hAnsi="仿宋" w:eastAsia="楷体_GB2312"/>
          <w:b/>
          <w:sz w:val="32"/>
          <w:szCs w:val="32"/>
        </w:rPr>
        <w:t>4</w:t>
      </w:r>
      <w:r>
        <w:rPr>
          <w:rFonts w:hint="eastAsia" w:ascii="楷体_GB2312" w:hAnsi="仿宋" w:eastAsia="楷体_GB2312"/>
          <w:b/>
          <w:sz w:val="32"/>
          <w:szCs w:val="32"/>
        </w:rPr>
        <w:t>次会议研究同意，现印发给你们，请结合本地实际，认真贯彻执行。</w:t>
      </w:r>
    </w:p>
    <w:p>
      <w:pPr>
        <w:spacing w:line="580" w:lineRule="exact"/>
        <w:ind w:firstLine="645"/>
        <w:rPr>
          <w:rFonts w:ascii="楷体_GB2312" w:hAnsi="仿宋" w:eastAsia="楷体_GB2312"/>
          <w:b/>
          <w:sz w:val="32"/>
          <w:szCs w:val="32"/>
        </w:rPr>
      </w:pPr>
    </w:p>
    <w:p>
      <w:pPr>
        <w:spacing w:line="580" w:lineRule="exact"/>
        <w:ind w:right="640" w:rightChars="305" w:firstLine="4498" w:firstLineChars="1400"/>
        <w:jc w:val="right"/>
        <w:rPr>
          <w:rFonts w:ascii="楷体_GB2312" w:hAnsi="仿宋" w:eastAsia="楷体_GB2312"/>
          <w:b/>
          <w:sz w:val="32"/>
          <w:szCs w:val="32"/>
        </w:rPr>
      </w:pPr>
      <w:r>
        <w:rPr>
          <w:rFonts w:hint="eastAsia" w:ascii="楷体_GB2312" w:hAnsi="仿宋" w:eastAsia="楷体_GB2312"/>
          <w:b/>
          <w:sz w:val="32"/>
          <w:szCs w:val="32"/>
        </w:rPr>
        <w:t>山东省总工会办公室</w:t>
      </w:r>
    </w:p>
    <w:p>
      <w:pPr>
        <w:spacing w:line="580" w:lineRule="exact"/>
        <w:ind w:right="485" w:rightChars="231" w:firstLine="5301" w:firstLineChars="1650"/>
        <w:jc w:val="right"/>
        <w:rPr>
          <w:rFonts w:ascii="楷体_GB2312" w:hAnsi="仿宋" w:eastAsia="楷体_GB2312"/>
          <w:b/>
          <w:sz w:val="32"/>
          <w:szCs w:val="32"/>
        </w:rPr>
      </w:pPr>
      <w:r>
        <w:rPr>
          <w:rFonts w:ascii="楷体_GB2312" w:hAnsi="仿宋" w:eastAsia="楷体_GB2312"/>
          <w:b/>
          <w:sz w:val="32"/>
          <w:szCs w:val="32"/>
        </w:rPr>
        <w:t>2019</w:t>
      </w:r>
      <w:r>
        <w:rPr>
          <w:rFonts w:hint="eastAsia" w:ascii="楷体_GB2312" w:hAnsi="仿宋" w:eastAsia="楷体_GB2312"/>
          <w:b/>
          <w:sz w:val="32"/>
          <w:szCs w:val="32"/>
        </w:rPr>
        <w:t>年</w:t>
      </w:r>
      <w:r>
        <w:rPr>
          <w:rFonts w:ascii="楷体_GB2312" w:hAnsi="仿宋" w:eastAsia="楷体_GB2312"/>
          <w:b/>
          <w:sz w:val="32"/>
          <w:szCs w:val="32"/>
        </w:rPr>
        <w:t>1</w:t>
      </w:r>
      <w:r>
        <w:rPr>
          <w:rFonts w:hint="eastAsia" w:ascii="楷体_GB2312" w:hAnsi="仿宋" w:eastAsia="楷体_GB2312"/>
          <w:b/>
          <w:sz w:val="32"/>
          <w:szCs w:val="32"/>
        </w:rPr>
        <w:t>月</w:t>
      </w:r>
      <w:r>
        <w:rPr>
          <w:rFonts w:ascii="楷体_GB2312" w:hAnsi="仿宋" w:eastAsia="楷体_GB2312"/>
          <w:b/>
          <w:sz w:val="32"/>
          <w:szCs w:val="32"/>
        </w:rPr>
        <w:t>4</w:t>
      </w:r>
      <w:r>
        <w:rPr>
          <w:rFonts w:hint="eastAsia" w:ascii="楷体_GB2312" w:hAnsi="仿宋" w:eastAsia="楷体_GB2312"/>
          <w:b/>
          <w:sz w:val="32"/>
          <w:szCs w:val="32"/>
        </w:rPr>
        <w:t>日</w:t>
      </w:r>
    </w:p>
    <w:p>
      <w:pPr>
        <w:spacing w:line="700" w:lineRule="exact"/>
        <w:jc w:val="left"/>
        <w:rPr>
          <w:rFonts w:ascii="仿宋" w:hAnsi="仿宋" w:eastAsia="仿宋"/>
          <w:b/>
          <w:sz w:val="32"/>
          <w:szCs w:val="32"/>
        </w:rPr>
      </w:pPr>
      <w:r>
        <w:rPr>
          <w:rFonts w:ascii="仿宋" w:hAnsi="仿宋" w:eastAsia="仿宋"/>
          <w:b/>
          <w:sz w:val="32"/>
          <w:szCs w:val="32"/>
        </w:rPr>
        <w:br w:type="page"/>
      </w:r>
    </w:p>
    <w:p>
      <w:pPr>
        <w:spacing w:line="700" w:lineRule="exact"/>
        <w:jc w:val="center"/>
        <w:rPr>
          <w:rFonts w:ascii="方正小标宋简体" w:hAnsi="华文中宋" w:eastAsia="方正小标宋简体"/>
          <w:b/>
          <w:sz w:val="44"/>
          <w:szCs w:val="44"/>
        </w:rPr>
      </w:pPr>
      <w:r>
        <w:rPr>
          <w:rFonts w:hint="eastAsia" w:ascii="方正小标宋简体" w:hAnsi="华文中宋" w:eastAsia="方正小标宋简体"/>
          <w:b/>
          <w:sz w:val="44"/>
          <w:szCs w:val="44"/>
        </w:rPr>
        <w:t>山东省工会送温暖资金使用管理办法（试行）</w:t>
      </w:r>
    </w:p>
    <w:p>
      <w:pPr>
        <w:spacing w:line="560" w:lineRule="exact"/>
        <w:ind w:firstLine="3534" w:firstLineChars="1100"/>
        <w:rPr>
          <w:rFonts w:ascii="仿宋_GB2312" w:hAnsi="仿宋_GB2312" w:eastAsia="仿宋_GB2312" w:cs="仿宋_GB2312"/>
          <w:b/>
          <w:sz w:val="32"/>
          <w:szCs w:val="32"/>
        </w:rPr>
      </w:pPr>
    </w:p>
    <w:p>
      <w:pPr>
        <w:spacing w:line="560" w:lineRule="exact"/>
        <w:jc w:val="center"/>
        <w:rPr>
          <w:rFonts w:ascii="黑体" w:hAnsi="黑体" w:eastAsia="黑体" w:cs="楷体_GB2312"/>
          <w:b/>
          <w:bCs/>
          <w:sz w:val="32"/>
          <w:szCs w:val="32"/>
        </w:rPr>
      </w:pPr>
      <w:r>
        <w:rPr>
          <w:rFonts w:hint="eastAsia" w:ascii="黑体" w:hAnsi="黑体" w:eastAsia="黑体" w:cs="楷体_GB2312"/>
          <w:b/>
          <w:bCs/>
          <w:sz w:val="32"/>
          <w:szCs w:val="32"/>
        </w:rPr>
        <w:t>第一章</w:t>
      </w:r>
      <w:r>
        <w:rPr>
          <w:rFonts w:ascii="黑体" w:hAnsi="黑体" w:eastAsia="黑体" w:cs="楷体_GB2312"/>
          <w:b/>
          <w:bCs/>
          <w:sz w:val="32"/>
          <w:szCs w:val="32"/>
        </w:rPr>
        <w:t xml:space="preserve"> </w:t>
      </w:r>
      <w:r>
        <w:rPr>
          <w:rFonts w:hint="eastAsia" w:ascii="黑体" w:hAnsi="黑体" w:eastAsia="黑体" w:cs="楷体_GB2312"/>
          <w:b/>
          <w:bCs/>
          <w:sz w:val="32"/>
          <w:szCs w:val="32"/>
        </w:rPr>
        <w:t>总则</w:t>
      </w:r>
    </w:p>
    <w:p>
      <w:p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第一条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为进一步规范送温暖资金的使用和管理，提高资金使用效益，实现送温暖常态化、规范化、制度化，依据中华全国总工会《工会送温暖资金使用管理办法（试行）》等有关规定，制定本办法。</w:t>
      </w:r>
    </w:p>
    <w:p>
      <w:pPr>
        <w:spacing w:line="560" w:lineRule="exact"/>
        <w:ind w:firstLine="643" w:firstLineChars="200"/>
        <w:rPr>
          <w:rFonts w:ascii="仿宋_GB2312" w:hAnsi="仿宋_GB2312" w:eastAsia="仿宋_GB2312" w:cs="仿宋_GB2312"/>
          <w:b/>
          <w:sz w:val="32"/>
          <w:szCs w:val="32"/>
        </w:rPr>
      </w:pPr>
      <w:r>
        <w:rPr>
          <w:rFonts w:hint="eastAsia" w:ascii="黑体" w:hAnsi="黑体" w:eastAsia="黑体" w:cs="楷体_GB2312"/>
          <w:b/>
          <w:bCs/>
          <w:sz w:val="32"/>
          <w:szCs w:val="32"/>
        </w:rPr>
        <w:t>第二条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送温暖资金是各级工会围绕维护职工合法权益、竭诚服务职工群众的基本职责，筹集社会各方面资源，对职工开展困难帮扶、走访慰问的资金。</w:t>
      </w:r>
    </w:p>
    <w:p>
      <w:pPr>
        <w:spacing w:line="560" w:lineRule="exact"/>
        <w:ind w:firstLine="643" w:firstLineChars="200"/>
        <w:rPr>
          <w:rFonts w:ascii="仿宋_GB2312" w:hAnsi="仿宋_GB2312" w:eastAsia="仿宋_GB2312" w:cs="仿宋_GB2312"/>
          <w:b/>
          <w:sz w:val="32"/>
          <w:szCs w:val="32"/>
        </w:rPr>
      </w:pPr>
      <w:r>
        <w:rPr>
          <w:rFonts w:hint="eastAsia" w:ascii="黑体" w:hAnsi="黑体" w:eastAsia="黑体" w:cs="楷体_GB2312"/>
          <w:b/>
          <w:bCs/>
          <w:sz w:val="32"/>
          <w:szCs w:val="32"/>
        </w:rPr>
        <w:t>第三条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送温暖资金主要用于向困难职工开展经常性帮扶救助、开展送温暖活动以及突发性、临时性慰问活动。</w:t>
      </w:r>
    </w:p>
    <w:p>
      <w:pPr>
        <w:spacing w:line="560" w:lineRule="exact"/>
        <w:jc w:val="center"/>
        <w:rPr>
          <w:rFonts w:ascii="黑体" w:hAnsi="黑体" w:eastAsia="黑体" w:cs="楷体_GB2312"/>
          <w:b/>
          <w:bCs/>
          <w:sz w:val="32"/>
          <w:szCs w:val="32"/>
        </w:rPr>
      </w:pPr>
      <w:r>
        <w:rPr>
          <w:rFonts w:hint="eastAsia" w:ascii="黑体" w:hAnsi="黑体" w:eastAsia="黑体" w:cs="楷体_GB2312"/>
          <w:b/>
          <w:bCs/>
          <w:sz w:val="32"/>
          <w:szCs w:val="32"/>
        </w:rPr>
        <w:t>第二章</w:t>
      </w:r>
      <w:r>
        <w:rPr>
          <w:rFonts w:ascii="黑体" w:hAnsi="黑体" w:eastAsia="黑体" w:cs="楷体_GB2312"/>
          <w:b/>
          <w:bCs/>
          <w:sz w:val="32"/>
          <w:szCs w:val="32"/>
        </w:rPr>
        <w:t xml:space="preserve"> </w:t>
      </w:r>
      <w:r>
        <w:rPr>
          <w:rFonts w:hint="eastAsia" w:ascii="黑体" w:hAnsi="黑体" w:eastAsia="黑体" w:cs="楷体_GB2312"/>
          <w:b/>
          <w:bCs/>
          <w:sz w:val="32"/>
          <w:szCs w:val="32"/>
        </w:rPr>
        <w:t>资金的来源、使用对象</w:t>
      </w:r>
    </w:p>
    <w:p>
      <w:p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第四条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送温暖资金的主要来源是：</w:t>
      </w:r>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1.</w:t>
      </w:r>
      <w:r>
        <w:rPr>
          <w:rFonts w:hint="eastAsia" w:ascii="仿宋" w:hAnsi="仿宋" w:eastAsia="仿宋" w:cs="仿宋_GB2312"/>
          <w:b/>
          <w:sz w:val="32"/>
          <w:szCs w:val="32"/>
        </w:rPr>
        <w:t>各级财政拨款。是指各级财政拨付工会使用的用于送温暖工作的专项资金。</w:t>
      </w:r>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2.</w:t>
      </w:r>
      <w:r>
        <w:rPr>
          <w:rFonts w:hint="eastAsia" w:ascii="仿宋" w:hAnsi="仿宋" w:eastAsia="仿宋" w:cs="仿宋_GB2312"/>
          <w:b/>
          <w:sz w:val="32"/>
          <w:szCs w:val="32"/>
        </w:rPr>
        <w:t>上级工会经费补助。是指上级工会用工会经费安排给下级工会开展送温暖活动的专项资金。</w:t>
      </w:r>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3.</w:t>
      </w:r>
      <w:r>
        <w:rPr>
          <w:rFonts w:hint="eastAsia" w:ascii="仿宋" w:hAnsi="仿宋" w:eastAsia="仿宋" w:cs="仿宋_GB2312"/>
          <w:b/>
          <w:sz w:val="32"/>
          <w:szCs w:val="32"/>
        </w:rPr>
        <w:t>本级工会经费列支。是指各级工会在本级工会经费预算中安排的用于送温暖活动的专项资金。</w:t>
      </w:r>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4.</w:t>
      </w:r>
      <w:r>
        <w:rPr>
          <w:rFonts w:hint="eastAsia" w:ascii="仿宋" w:hAnsi="仿宋" w:eastAsia="仿宋" w:cs="仿宋_GB2312"/>
          <w:b/>
          <w:sz w:val="32"/>
          <w:szCs w:val="32"/>
        </w:rPr>
        <w:t>社会捐助资金。是指各级工会向社会募集的专项用于送温暖活动的资金。</w:t>
      </w:r>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5.</w:t>
      </w:r>
      <w:r>
        <w:rPr>
          <w:rFonts w:hint="eastAsia" w:ascii="仿宋" w:hAnsi="仿宋" w:eastAsia="仿宋" w:cs="仿宋_GB2312"/>
          <w:b/>
          <w:sz w:val="32"/>
          <w:szCs w:val="32"/>
        </w:rPr>
        <w:t>行政拨付。是指基层工会所在单位用行政经费、福利费等通过工会开展送温暖活动的资金。</w:t>
      </w:r>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6.</w:t>
      </w:r>
      <w:r>
        <w:rPr>
          <w:rFonts w:hint="eastAsia" w:ascii="仿宋" w:hAnsi="仿宋" w:eastAsia="仿宋" w:cs="仿宋_GB2312"/>
          <w:b/>
          <w:sz w:val="32"/>
          <w:szCs w:val="32"/>
        </w:rPr>
        <w:t>其他合法来源。</w:t>
      </w:r>
    </w:p>
    <w:p>
      <w:p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第五条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送温暖资金的使用对象：</w:t>
      </w:r>
    </w:p>
    <w:p>
      <w:p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1.</w:t>
      </w:r>
      <w:r>
        <w:rPr>
          <w:rFonts w:hint="eastAsia" w:ascii="仿宋" w:hAnsi="仿宋" w:eastAsia="仿宋" w:cs="仿宋_GB2312"/>
          <w:b/>
          <w:sz w:val="32"/>
          <w:szCs w:val="32"/>
        </w:rPr>
        <w:t>在档的困难职工；</w:t>
      </w:r>
    </w:p>
    <w:p>
      <w:p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2.</w:t>
      </w:r>
      <w:r>
        <w:rPr>
          <w:rFonts w:hint="eastAsia" w:ascii="仿宋" w:hAnsi="仿宋" w:eastAsia="仿宋" w:cs="仿宋_GB2312"/>
          <w:b/>
          <w:sz w:val="32"/>
          <w:szCs w:val="32"/>
        </w:rPr>
        <w:t>因本人或家庭成员患大病、上学、遭受各类灾害或突发意外等情况造成生活困难的职工；</w:t>
      </w:r>
    </w:p>
    <w:p>
      <w:p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3.</w:t>
      </w:r>
      <w:r>
        <w:rPr>
          <w:rFonts w:hint="eastAsia" w:ascii="仿宋" w:hAnsi="仿宋" w:eastAsia="仿宋" w:cs="仿宋_GB2312"/>
          <w:b/>
          <w:sz w:val="32"/>
          <w:szCs w:val="32"/>
        </w:rPr>
        <w:t>在国家重点工程和重大项目建设一线、节日坚守岗位服务一线，重大灾害期间坚守抗灾一线，长期在高（低）温、高空、有毒有害等环境中和苦脏累险艰苦行业岗位上工作的一线职工（含农民工）；</w:t>
      </w:r>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4.</w:t>
      </w:r>
      <w:r>
        <w:rPr>
          <w:rFonts w:hint="eastAsia" w:ascii="仿宋" w:hAnsi="仿宋" w:eastAsia="仿宋" w:cs="仿宋_GB2312"/>
          <w:b/>
          <w:sz w:val="32"/>
          <w:szCs w:val="32"/>
        </w:rPr>
        <w:t>工伤与职业病致残的职工和因公牺牲职工的家属；</w:t>
      </w:r>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5.</w:t>
      </w:r>
      <w:r>
        <w:rPr>
          <w:rFonts w:hint="eastAsia" w:ascii="仿宋" w:hAnsi="仿宋" w:eastAsia="仿宋" w:cs="仿宋_GB2312"/>
          <w:b/>
          <w:sz w:val="32"/>
          <w:szCs w:val="32"/>
        </w:rPr>
        <w:t>因组织需要长期异地工作或者服从组织需要赴外地、基层工作的派驻挂职干部职工；</w:t>
      </w:r>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6.</w:t>
      </w:r>
      <w:r>
        <w:rPr>
          <w:rFonts w:hint="eastAsia" w:ascii="仿宋" w:hAnsi="仿宋" w:eastAsia="仿宋" w:cs="仿宋_GB2312"/>
          <w:b/>
          <w:sz w:val="32"/>
          <w:szCs w:val="32"/>
        </w:rPr>
        <w:t>在重大项目和重大工程中做出突出贡献的职工；生产一线涌现出来的先进模范人物。</w:t>
      </w:r>
    </w:p>
    <w:p>
      <w:pPr>
        <w:spacing w:line="560" w:lineRule="exact"/>
        <w:jc w:val="center"/>
        <w:rPr>
          <w:rFonts w:ascii="黑体" w:hAnsi="黑体" w:eastAsia="黑体" w:cs="楷体_GB2312"/>
          <w:b/>
          <w:bCs/>
          <w:sz w:val="32"/>
          <w:szCs w:val="32"/>
        </w:rPr>
      </w:pPr>
      <w:r>
        <w:rPr>
          <w:rFonts w:hint="eastAsia" w:ascii="黑体" w:hAnsi="黑体" w:eastAsia="黑体" w:cs="楷体_GB2312"/>
          <w:b/>
          <w:bCs/>
          <w:sz w:val="32"/>
          <w:szCs w:val="32"/>
        </w:rPr>
        <w:t>第三章</w:t>
      </w:r>
      <w:r>
        <w:rPr>
          <w:rFonts w:ascii="黑体" w:hAnsi="黑体" w:eastAsia="黑体" w:cs="楷体_GB2312"/>
          <w:b/>
          <w:bCs/>
          <w:sz w:val="32"/>
          <w:szCs w:val="32"/>
        </w:rPr>
        <w:t xml:space="preserve"> </w:t>
      </w:r>
      <w:r>
        <w:rPr>
          <w:rFonts w:hint="eastAsia" w:ascii="黑体" w:hAnsi="黑体" w:eastAsia="黑体" w:cs="楷体_GB2312"/>
          <w:b/>
          <w:bCs/>
          <w:sz w:val="32"/>
          <w:szCs w:val="32"/>
        </w:rPr>
        <w:t>资金的使用和管理</w:t>
      </w:r>
    </w:p>
    <w:p>
      <w:pPr>
        <w:numPr>
          <w:ilvl w:val="255"/>
          <w:numId w:val="0"/>
        </w:num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第六条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送温暖资金的使用和发放标准：</w:t>
      </w:r>
    </w:p>
    <w:p>
      <w:pPr>
        <w:numPr>
          <w:ilvl w:val="255"/>
          <w:numId w:val="0"/>
        </w:numPr>
        <w:spacing w:line="560" w:lineRule="exact"/>
        <w:ind w:firstLine="643" w:firstLineChars="200"/>
        <w:rPr>
          <w:rFonts w:ascii="仿宋" w:hAnsi="仿宋" w:eastAsia="仿宋" w:cs="仿宋_GB2312"/>
          <w:b/>
          <w:color w:val="000000" w:themeColor="text1"/>
          <w:sz w:val="32"/>
          <w:szCs w:val="32"/>
          <w14:textFill>
            <w14:solidFill>
              <w14:schemeClr w14:val="tx1"/>
            </w14:solidFill>
          </w14:textFill>
        </w:rPr>
      </w:pPr>
      <w:r>
        <w:rPr>
          <w:rFonts w:ascii="仿宋" w:hAnsi="仿宋" w:eastAsia="仿宋" w:cs="仿宋_GB2312"/>
          <w:b/>
          <w:color w:val="000000" w:themeColor="text1"/>
          <w:sz w:val="32"/>
          <w:szCs w:val="32"/>
          <w14:textFill>
            <w14:solidFill>
              <w14:schemeClr w14:val="tx1"/>
            </w14:solidFill>
          </w14:textFill>
        </w:rPr>
        <w:t xml:space="preserve">1. </w:t>
      </w:r>
      <w:r>
        <w:rPr>
          <w:rFonts w:hint="eastAsia" w:ascii="仿宋" w:hAnsi="仿宋" w:eastAsia="仿宋" w:cs="仿宋_GB2312"/>
          <w:b/>
          <w:color w:val="000000" w:themeColor="text1"/>
          <w:sz w:val="32"/>
          <w:szCs w:val="32"/>
          <w14:textFill>
            <w14:solidFill>
              <w14:schemeClr w14:val="tx1"/>
            </w14:solidFill>
          </w14:textFill>
        </w:rPr>
        <w:t>财政专项帮扶资金使用于两节期间慰问困难职工的，应同时遵照帮扶资金管理相关规定执行。</w:t>
      </w:r>
      <w:bookmarkStart w:id="0" w:name="_GoBack"/>
      <w:bookmarkEnd w:id="0"/>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2.</w:t>
      </w:r>
      <w:r>
        <w:rPr>
          <w:rFonts w:hint="eastAsia" w:ascii="仿宋" w:hAnsi="仿宋" w:eastAsia="仿宋" w:cs="仿宋_GB2312"/>
          <w:b/>
          <w:sz w:val="32"/>
          <w:szCs w:val="32"/>
        </w:rPr>
        <w:t>送温暖资金的发放标准由各地结合居民生活水平和物价指数等因素，科学合理制定</w:t>
      </w:r>
      <w:r>
        <w:rPr>
          <w:rFonts w:ascii="仿宋" w:hAnsi="仿宋" w:eastAsia="仿宋" w:cs="仿宋_GB2312"/>
          <w:b/>
          <w:sz w:val="32"/>
          <w:szCs w:val="32"/>
        </w:rPr>
        <w:t>,</w:t>
      </w:r>
      <w:r>
        <w:rPr>
          <w:rFonts w:hint="eastAsia" w:ascii="仿宋" w:hAnsi="仿宋" w:eastAsia="仿宋" w:cs="仿宋_GB2312"/>
          <w:b/>
          <w:sz w:val="32"/>
          <w:szCs w:val="32"/>
        </w:rPr>
        <w:t>原则上每人次不超过</w:t>
      </w:r>
      <w:r>
        <w:rPr>
          <w:rFonts w:ascii="仿宋" w:hAnsi="仿宋" w:eastAsia="仿宋" w:cs="仿宋_GB2312"/>
          <w:b/>
          <w:sz w:val="32"/>
          <w:szCs w:val="32"/>
        </w:rPr>
        <w:t>3000</w:t>
      </w:r>
      <w:r>
        <w:rPr>
          <w:rFonts w:hint="eastAsia" w:ascii="仿宋" w:hAnsi="仿宋" w:eastAsia="仿宋" w:cs="仿宋_GB2312"/>
          <w:b/>
          <w:sz w:val="32"/>
          <w:szCs w:val="32"/>
        </w:rPr>
        <w:t>元，每人每年不超过</w:t>
      </w:r>
      <w:r>
        <w:rPr>
          <w:rFonts w:ascii="仿宋" w:hAnsi="仿宋" w:eastAsia="仿宋" w:cs="仿宋_GB2312"/>
          <w:b/>
          <w:sz w:val="32"/>
          <w:szCs w:val="32"/>
        </w:rPr>
        <w:t>6000</w:t>
      </w:r>
      <w:r>
        <w:rPr>
          <w:rFonts w:hint="eastAsia" w:ascii="仿宋" w:hAnsi="仿宋" w:eastAsia="仿宋" w:cs="仿宋_GB2312"/>
          <w:b/>
          <w:sz w:val="32"/>
          <w:szCs w:val="32"/>
        </w:rPr>
        <w:t>元。</w:t>
      </w:r>
    </w:p>
    <w:p>
      <w:pPr>
        <w:numPr>
          <w:ilvl w:val="255"/>
          <w:numId w:val="0"/>
        </w:num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第七条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送温暖资金的发放形式和要求：</w:t>
      </w:r>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1.</w:t>
      </w:r>
      <w:r>
        <w:rPr>
          <w:rFonts w:hint="eastAsia" w:ascii="仿宋" w:hAnsi="仿宋" w:eastAsia="仿宋" w:cs="仿宋_GB2312"/>
          <w:b/>
          <w:sz w:val="32"/>
          <w:szCs w:val="32"/>
        </w:rPr>
        <w:t>送温暖资金走访慰问职工要坚持实名制发放，实名制表应包括慰问对象的工作单位、基本情况、联系方式、身份证号、慰问金额、经办人签字等有关信息。资金使用情况须录入工会帮扶工作管理系统送温暖管理模块备查。</w:t>
      </w:r>
    </w:p>
    <w:p>
      <w:pPr>
        <w:numPr>
          <w:ilvl w:val="255"/>
          <w:numId w:val="0"/>
        </w:numPr>
        <w:spacing w:line="560" w:lineRule="exact"/>
        <w:ind w:firstLine="643" w:firstLineChars="200"/>
        <w:rPr>
          <w:rFonts w:ascii="仿宋" w:hAnsi="仿宋" w:eastAsia="仿宋" w:cs="仿宋_GB2312"/>
          <w:b/>
          <w:sz w:val="32"/>
          <w:szCs w:val="32"/>
        </w:rPr>
      </w:pPr>
      <w:r>
        <w:rPr>
          <w:rFonts w:ascii="仿宋" w:hAnsi="仿宋" w:eastAsia="仿宋" w:cs="仿宋_GB2312"/>
          <w:b/>
          <w:sz w:val="32"/>
          <w:szCs w:val="32"/>
        </w:rPr>
        <w:t>2.</w:t>
      </w:r>
      <w:r>
        <w:rPr>
          <w:rFonts w:hint="eastAsia" w:ascii="仿宋" w:hAnsi="仿宋" w:eastAsia="仿宋" w:cs="仿宋_GB2312"/>
          <w:b/>
          <w:sz w:val="32"/>
          <w:szCs w:val="32"/>
        </w:rPr>
        <w:t>送温暖物资属于政府采购范围的，执行政府采购有关规定，大宗物品采购公开招标，并实名制发放。</w:t>
      </w:r>
    </w:p>
    <w:p>
      <w:pPr>
        <w:spacing w:line="560" w:lineRule="exact"/>
        <w:ind w:firstLine="640"/>
        <w:rPr>
          <w:rFonts w:ascii="仿宋" w:hAnsi="仿宋" w:eastAsia="仿宋" w:cs="仿宋_GB2312"/>
          <w:b/>
          <w:sz w:val="32"/>
          <w:szCs w:val="32"/>
        </w:rPr>
      </w:pPr>
      <w:r>
        <w:rPr>
          <w:rFonts w:hint="eastAsia" w:ascii="黑体" w:hAnsi="黑体" w:eastAsia="黑体" w:cs="楷体_GB2312"/>
          <w:b/>
          <w:bCs/>
          <w:sz w:val="32"/>
          <w:szCs w:val="32"/>
        </w:rPr>
        <w:t>第八条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工会权益保障部门会同财务部门提出资金的分配和使用方案，经同级工会领导集体研究通过后实施。</w:t>
      </w:r>
    </w:p>
    <w:p>
      <w:pPr>
        <w:numPr>
          <w:ilvl w:val="255"/>
          <w:numId w:val="0"/>
        </w:num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第九条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送温暖资金纳入各级工会预算、决算统一管理。各级工会年度预算安排时以常态化送温暖为原则，切实保证经费投入。各级工会要拓宽资金筹集渠道，积极争取政府财政支持，探索与慈善组织合作方式，撬动更多的社会资源参与送温暖活动。</w:t>
      </w:r>
    </w:p>
    <w:p>
      <w:pPr>
        <w:numPr>
          <w:ilvl w:val="255"/>
          <w:numId w:val="0"/>
        </w:numPr>
        <w:spacing w:line="560" w:lineRule="exact"/>
        <w:ind w:firstLine="643" w:firstLineChars="200"/>
        <w:rPr>
          <w:rFonts w:ascii="仿宋_GB2312" w:hAnsi="仿宋_GB2312" w:eastAsia="仿宋_GB2312" w:cs="仿宋_GB2312"/>
          <w:b/>
          <w:sz w:val="32"/>
          <w:szCs w:val="32"/>
        </w:rPr>
      </w:pPr>
      <w:r>
        <w:rPr>
          <w:rFonts w:hint="eastAsia" w:ascii="黑体" w:hAnsi="黑体" w:eastAsia="黑体" w:cs="楷体_GB2312"/>
          <w:b/>
          <w:bCs/>
          <w:sz w:val="32"/>
          <w:szCs w:val="32"/>
        </w:rPr>
        <w:t>第十条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送温暖资金按照《工会会计制度》设置会计科目、进行会计核算，严格执行资金审批和财务支付制度。</w:t>
      </w:r>
    </w:p>
    <w:p>
      <w:pPr>
        <w:numPr>
          <w:ilvl w:val="255"/>
          <w:numId w:val="0"/>
        </w:numPr>
        <w:spacing w:line="560" w:lineRule="exact"/>
        <w:jc w:val="center"/>
        <w:rPr>
          <w:rFonts w:ascii="黑体" w:hAnsi="黑体" w:eastAsia="黑体" w:cs="楷体_GB2312"/>
          <w:b/>
          <w:bCs/>
          <w:sz w:val="32"/>
          <w:szCs w:val="32"/>
        </w:rPr>
      </w:pPr>
      <w:r>
        <w:rPr>
          <w:rFonts w:hint="eastAsia" w:ascii="黑体" w:hAnsi="黑体" w:eastAsia="黑体" w:cs="楷体_GB2312"/>
          <w:b/>
          <w:bCs/>
          <w:sz w:val="32"/>
          <w:szCs w:val="32"/>
        </w:rPr>
        <w:t>第四章</w:t>
      </w:r>
      <w:r>
        <w:rPr>
          <w:rFonts w:ascii="黑体" w:hAnsi="黑体" w:eastAsia="黑体" w:cs="楷体_GB2312"/>
          <w:b/>
          <w:bCs/>
          <w:sz w:val="32"/>
          <w:szCs w:val="32"/>
        </w:rPr>
        <w:t xml:space="preserve"> </w:t>
      </w:r>
      <w:r>
        <w:rPr>
          <w:rFonts w:hint="eastAsia" w:ascii="黑体" w:hAnsi="黑体" w:eastAsia="黑体" w:cs="楷体_GB2312"/>
          <w:b/>
          <w:bCs/>
          <w:sz w:val="32"/>
          <w:szCs w:val="32"/>
        </w:rPr>
        <w:t>监督检查</w:t>
      </w:r>
    </w:p>
    <w:p>
      <w:pPr>
        <w:numPr>
          <w:ilvl w:val="255"/>
          <w:numId w:val="0"/>
        </w:num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第十一条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各级工会权益保障、财务、经审部门要加大对资金使用管理情况的监督检查，及时发现和纠正存在的问题。经审部门要将送温暖资金纳入年度审计范围。接受政府有关部门审计、检查，接受职工群众和社会的监督。</w:t>
      </w:r>
    </w:p>
    <w:p>
      <w:pPr>
        <w:numPr>
          <w:ilvl w:val="255"/>
          <w:numId w:val="0"/>
        </w:num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第十二条</w:t>
      </w:r>
      <w:r>
        <w:rPr>
          <w:rFonts w:ascii="黑体" w:hAnsi="黑体" w:eastAsia="黑体" w:cs="楷体_GB2312"/>
          <w:b/>
          <w:bCs/>
          <w:sz w:val="32"/>
          <w:szCs w:val="32"/>
        </w:rPr>
        <w:t xml:space="preserve"> </w:t>
      </w:r>
      <w:r>
        <w:rPr>
          <w:rFonts w:hint="eastAsia" w:ascii="仿宋" w:hAnsi="仿宋" w:eastAsia="仿宋" w:cs="仿宋_GB2312"/>
          <w:b/>
          <w:sz w:val="32"/>
          <w:szCs w:val="32"/>
        </w:rPr>
        <w:t>任何单位或个人不得使用送温暖资金购买明令禁止的物品，不得发放津补贴、奖金、福利，不得用于与规定用途无关的其他事项。不得截留、挪用、冒领，不得优亲厚友、人情帮扶。</w:t>
      </w:r>
    </w:p>
    <w:p>
      <w:pPr>
        <w:numPr>
          <w:ilvl w:val="255"/>
          <w:numId w:val="0"/>
        </w:num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第十三条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各级工会对监督检查中发现违反有关规定的问题，要及时处理。违规问题情节较轻的，要限期整改；涉及违纪的，由纪检监察部门依照有关规定，追究直接责任人和相关领导责任；构成犯罪的，依法移交司法机关处理。</w:t>
      </w:r>
    </w:p>
    <w:p>
      <w:pPr>
        <w:spacing w:line="560" w:lineRule="exact"/>
        <w:jc w:val="center"/>
        <w:rPr>
          <w:rFonts w:ascii="黑体" w:hAnsi="黑体" w:eastAsia="黑体" w:cs="楷体_GB2312"/>
          <w:b/>
          <w:bCs/>
          <w:sz w:val="32"/>
          <w:szCs w:val="32"/>
        </w:rPr>
      </w:pPr>
      <w:r>
        <w:rPr>
          <w:rFonts w:hint="eastAsia" w:ascii="黑体" w:hAnsi="黑体" w:eastAsia="黑体" w:cs="楷体_GB2312"/>
          <w:b/>
          <w:bCs/>
          <w:sz w:val="32"/>
          <w:szCs w:val="32"/>
        </w:rPr>
        <w:t>第五章</w:t>
      </w:r>
      <w:r>
        <w:rPr>
          <w:rFonts w:ascii="黑体" w:hAnsi="黑体" w:eastAsia="黑体" w:cs="楷体_GB2312"/>
          <w:b/>
          <w:bCs/>
          <w:sz w:val="32"/>
          <w:szCs w:val="32"/>
        </w:rPr>
        <w:t xml:space="preserve"> </w:t>
      </w:r>
      <w:r>
        <w:rPr>
          <w:rFonts w:hint="eastAsia" w:ascii="黑体" w:hAnsi="黑体" w:eastAsia="黑体" w:cs="楷体_GB2312"/>
          <w:b/>
          <w:bCs/>
          <w:sz w:val="32"/>
          <w:szCs w:val="32"/>
        </w:rPr>
        <w:t>附则</w:t>
      </w:r>
    </w:p>
    <w:p>
      <w:pPr>
        <w:numPr>
          <w:ilvl w:val="255"/>
          <w:numId w:val="0"/>
        </w:num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第十四条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各市级工会应根据本办法的规定，结合本地区、本产业和本系统工作实际，制定具体实施细则，细化支出范围，明确开支标准，确定审批权限，规范活动开展。各市级工会制定的实施细则须报省总工会备案。市以下各级工会制定的实施细则须报上一级工会备案。</w:t>
      </w:r>
    </w:p>
    <w:p>
      <w:pPr>
        <w:numPr>
          <w:ilvl w:val="255"/>
          <w:numId w:val="0"/>
        </w:num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第十五条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本办法由山东省总工会权益保障部、财务部负责解释。</w:t>
      </w:r>
    </w:p>
    <w:p>
      <w:pPr>
        <w:numPr>
          <w:ilvl w:val="255"/>
          <w:numId w:val="0"/>
        </w:numPr>
        <w:spacing w:line="560" w:lineRule="exact"/>
        <w:ind w:firstLine="643" w:firstLineChars="200"/>
        <w:rPr>
          <w:rFonts w:ascii="仿宋" w:hAnsi="仿宋" w:eastAsia="仿宋" w:cs="仿宋_GB2312"/>
          <w:b/>
          <w:sz w:val="32"/>
          <w:szCs w:val="32"/>
        </w:rPr>
      </w:pPr>
      <w:r>
        <w:rPr>
          <w:rFonts w:hint="eastAsia" w:ascii="黑体" w:hAnsi="黑体" w:eastAsia="黑体" w:cs="楷体_GB2312"/>
          <w:b/>
          <w:bCs/>
          <w:sz w:val="32"/>
          <w:szCs w:val="32"/>
        </w:rPr>
        <w:t>第十六条</w:t>
      </w:r>
      <w:r>
        <w:rPr>
          <w:rFonts w:ascii="仿宋_GB2312" w:hAnsi="仿宋_GB2312" w:eastAsia="仿宋_GB2312" w:cs="仿宋_GB2312"/>
          <w:b/>
          <w:sz w:val="32"/>
          <w:szCs w:val="32"/>
        </w:rPr>
        <w:t xml:space="preserve"> </w:t>
      </w:r>
      <w:r>
        <w:rPr>
          <w:rFonts w:hint="eastAsia" w:ascii="仿宋" w:hAnsi="仿宋" w:eastAsia="仿宋" w:cs="仿宋_GB2312"/>
          <w:b/>
          <w:sz w:val="32"/>
          <w:szCs w:val="32"/>
        </w:rPr>
        <w:t>本办法自下发之日起执行。</w:t>
      </w:r>
    </w:p>
    <w:p>
      <w:pPr>
        <w:numPr>
          <w:ilvl w:val="255"/>
          <w:numId w:val="0"/>
        </w:numPr>
        <w:spacing w:line="560" w:lineRule="exact"/>
        <w:ind w:firstLine="643" w:firstLineChars="200"/>
        <w:rPr>
          <w:rFonts w:ascii="仿宋" w:hAnsi="仿宋" w:eastAsia="仿宋" w:cs="仿宋_GB2312"/>
          <w:b/>
          <w:sz w:val="32"/>
          <w:szCs w:val="32"/>
        </w:rPr>
      </w:pPr>
    </w:p>
    <w:p>
      <w:pPr>
        <w:ind w:firstLine="630" w:firstLineChars="196"/>
        <w:rPr>
          <w:rFonts w:ascii="仿宋" w:hAnsi="仿宋" w:eastAsia="仿宋"/>
          <w:b/>
          <w:sz w:val="32"/>
          <w:szCs w:val="32"/>
        </w:rPr>
      </w:pPr>
      <w:r>
        <w:rPr>
          <w:rFonts w:hint="eastAsia" w:ascii="仿宋" w:hAnsi="仿宋" w:eastAsia="仿宋" w:cs="仿宋_GB2312"/>
          <w:b/>
          <w:sz w:val="32"/>
          <w:szCs w:val="32"/>
        </w:rPr>
        <w:t>附件：</w:t>
      </w:r>
      <w:r>
        <w:rPr>
          <w:rFonts w:hint="eastAsia" w:ascii="仿宋" w:hAnsi="仿宋" w:eastAsia="仿宋"/>
          <w:b/>
          <w:sz w:val="32"/>
          <w:szCs w:val="32"/>
        </w:rPr>
        <w:t>送温暖慰问实名制汇总表</w:t>
      </w:r>
    </w:p>
    <w:p>
      <w:pPr>
        <w:numPr>
          <w:ilvl w:val="255"/>
          <w:numId w:val="0"/>
        </w:numPr>
        <w:spacing w:line="560" w:lineRule="exact"/>
        <w:ind w:firstLine="643" w:firstLineChars="200"/>
        <w:rPr>
          <w:rFonts w:ascii="仿宋" w:hAnsi="仿宋" w:eastAsia="仿宋" w:cs="仿宋_GB2312"/>
          <w:b/>
          <w:sz w:val="32"/>
          <w:szCs w:val="32"/>
        </w:rPr>
      </w:pPr>
    </w:p>
    <w:p>
      <w:pPr>
        <w:numPr>
          <w:ilvl w:val="255"/>
          <w:numId w:val="0"/>
        </w:numPr>
        <w:spacing w:line="560" w:lineRule="exact"/>
        <w:ind w:firstLine="643" w:firstLineChars="200"/>
        <w:rPr>
          <w:rFonts w:ascii="仿宋" w:hAnsi="仿宋" w:eastAsia="仿宋" w:cs="仿宋_GB2312"/>
          <w:b/>
          <w:sz w:val="32"/>
          <w:szCs w:val="32"/>
        </w:rPr>
        <w:sectPr>
          <w:footerReference r:id="rId3" w:type="default"/>
          <w:footerReference r:id="rId4" w:type="even"/>
          <w:pgSz w:w="11906" w:h="16838"/>
          <w:pgMar w:top="2098" w:right="1474" w:bottom="1871" w:left="1588" w:header="851" w:footer="1418" w:gutter="0"/>
          <w:cols w:space="425" w:num="1"/>
          <w:docGrid w:type="lines" w:linePitch="312" w:charSpace="0"/>
        </w:sectPr>
      </w:pPr>
    </w:p>
    <w:p>
      <w:pPr>
        <w:rPr>
          <w:rFonts w:ascii="黑体" w:hAnsi="华文中宋" w:eastAsia="黑体"/>
          <w:b/>
          <w:sz w:val="32"/>
          <w:szCs w:val="32"/>
        </w:rPr>
      </w:pPr>
      <w:r>
        <w:rPr>
          <w:rFonts w:hint="eastAsia" w:ascii="黑体" w:hAnsi="华文中宋" w:eastAsia="黑体"/>
          <w:b/>
          <w:sz w:val="32"/>
          <w:szCs w:val="32"/>
        </w:rPr>
        <w:t>附件</w:t>
      </w:r>
    </w:p>
    <w:p>
      <w:pPr>
        <w:jc w:val="center"/>
        <w:rPr>
          <w:rFonts w:ascii="方正小标宋简体" w:hAnsi="华文中宋" w:eastAsia="方正小标宋简体"/>
          <w:b/>
          <w:sz w:val="44"/>
          <w:szCs w:val="44"/>
        </w:rPr>
      </w:pPr>
      <w:r>
        <w:rPr>
          <w:rFonts w:hint="eastAsia" w:ascii="方正小标宋简体" w:hAnsi="华文中宋" w:eastAsia="方正小标宋简体"/>
          <w:b/>
          <w:sz w:val="44"/>
          <w:szCs w:val="44"/>
        </w:rPr>
        <w:t>送温暖慰问实名制汇总表</w:t>
      </w:r>
    </w:p>
    <w:p>
      <w:pPr>
        <w:spacing w:line="240" w:lineRule="exact"/>
        <w:jc w:val="center"/>
        <w:rPr>
          <w:b/>
          <w:sz w:val="44"/>
          <w:szCs w:val="44"/>
        </w:rPr>
      </w:pPr>
    </w:p>
    <w:p>
      <w:pPr>
        <w:rPr>
          <w:rFonts w:ascii="楷体_GB2312" w:hAnsi="楷体" w:eastAsia="楷体_GB2312"/>
          <w:b/>
          <w:sz w:val="24"/>
          <w:szCs w:val="24"/>
        </w:rPr>
      </w:pPr>
      <w:r>
        <w:rPr>
          <w:rFonts w:hint="eastAsia" w:ascii="楷体_GB2312" w:hAnsi="楷体" w:eastAsia="楷体_GB2312"/>
          <w:b/>
          <w:sz w:val="24"/>
          <w:szCs w:val="24"/>
        </w:rPr>
        <w:t>填报单位（公章）：</w:t>
      </w:r>
      <w:r>
        <w:rPr>
          <w:rFonts w:ascii="楷体_GB2312" w:hAnsi="楷体" w:eastAsia="楷体_GB2312"/>
          <w:b/>
          <w:sz w:val="24"/>
          <w:szCs w:val="24"/>
        </w:rPr>
        <w:t xml:space="preserve">                  </w:t>
      </w:r>
      <w:r>
        <w:rPr>
          <w:rFonts w:hint="eastAsia" w:ascii="楷体_GB2312" w:hAnsi="楷体" w:eastAsia="楷体_GB2312"/>
          <w:b/>
          <w:sz w:val="24"/>
          <w:szCs w:val="24"/>
        </w:rPr>
        <w:t>填报人：</w:t>
      </w:r>
      <w:r>
        <w:rPr>
          <w:rFonts w:ascii="楷体_GB2312" w:hAnsi="楷体" w:eastAsia="楷体_GB2312"/>
          <w:b/>
          <w:sz w:val="24"/>
          <w:szCs w:val="24"/>
        </w:rPr>
        <w:t xml:space="preserve">                        </w:t>
      </w:r>
      <w:r>
        <w:rPr>
          <w:rFonts w:hint="eastAsia" w:ascii="楷体_GB2312" w:hAnsi="楷体" w:eastAsia="楷体_GB2312"/>
          <w:b/>
          <w:sz w:val="24"/>
          <w:szCs w:val="24"/>
        </w:rPr>
        <w:t>联系电话：</w:t>
      </w:r>
      <w:r>
        <w:rPr>
          <w:rFonts w:ascii="楷体_GB2312" w:hAnsi="楷体" w:eastAsia="楷体_GB2312"/>
          <w:b/>
          <w:sz w:val="24"/>
          <w:szCs w:val="24"/>
        </w:rPr>
        <w:t xml:space="preserve">                    </w:t>
      </w:r>
      <w:r>
        <w:rPr>
          <w:rFonts w:hint="eastAsia" w:ascii="楷体_GB2312" w:hAnsi="楷体" w:eastAsia="楷体_GB2312"/>
          <w:b/>
          <w:sz w:val="24"/>
          <w:szCs w:val="24"/>
        </w:rPr>
        <w:t>年</w:t>
      </w:r>
      <w:r>
        <w:rPr>
          <w:rFonts w:ascii="楷体_GB2312" w:hAnsi="楷体" w:eastAsia="楷体_GB2312"/>
          <w:b/>
          <w:sz w:val="24"/>
          <w:szCs w:val="24"/>
        </w:rPr>
        <w:t xml:space="preserve">    </w:t>
      </w:r>
      <w:r>
        <w:rPr>
          <w:rFonts w:hint="eastAsia" w:ascii="楷体_GB2312" w:hAnsi="楷体" w:eastAsia="楷体_GB2312"/>
          <w:b/>
          <w:sz w:val="24"/>
          <w:szCs w:val="24"/>
        </w:rPr>
        <w:t>月</w:t>
      </w:r>
      <w:r>
        <w:rPr>
          <w:rFonts w:ascii="楷体_GB2312" w:hAnsi="楷体" w:eastAsia="楷体_GB2312"/>
          <w:b/>
          <w:sz w:val="24"/>
          <w:szCs w:val="24"/>
        </w:rPr>
        <w:t xml:space="preserve">    </w:t>
      </w:r>
      <w:r>
        <w:rPr>
          <w:rFonts w:hint="eastAsia" w:ascii="楷体_GB2312" w:hAnsi="楷体" w:eastAsia="楷体_GB2312"/>
          <w:b/>
          <w:sz w:val="24"/>
          <w:szCs w:val="24"/>
        </w:rPr>
        <w:t>日</w:t>
      </w:r>
    </w:p>
    <w:tbl>
      <w:tblPr>
        <w:tblStyle w:val="6"/>
        <w:tblW w:w="138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9"/>
        <w:gridCol w:w="1065"/>
        <w:gridCol w:w="888"/>
        <w:gridCol w:w="2662"/>
        <w:gridCol w:w="2190"/>
        <w:gridCol w:w="1860"/>
        <w:gridCol w:w="1545"/>
        <w:gridCol w:w="1308"/>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639" w:type="dxa"/>
            <w:vAlign w:val="center"/>
          </w:tcPr>
          <w:p>
            <w:pPr>
              <w:jc w:val="center"/>
              <w:rPr>
                <w:rFonts w:ascii="仿宋_GB2312" w:hAnsi="仿宋" w:eastAsia="仿宋_GB2312"/>
                <w:b/>
              </w:rPr>
            </w:pPr>
            <w:r>
              <w:rPr>
                <w:rFonts w:hint="eastAsia" w:ascii="仿宋_GB2312" w:hAnsi="仿宋" w:eastAsia="仿宋_GB2312"/>
                <w:b/>
              </w:rPr>
              <w:t>序号</w:t>
            </w:r>
          </w:p>
        </w:tc>
        <w:tc>
          <w:tcPr>
            <w:tcW w:w="1065" w:type="dxa"/>
            <w:vAlign w:val="center"/>
          </w:tcPr>
          <w:p>
            <w:pPr>
              <w:jc w:val="center"/>
              <w:rPr>
                <w:rFonts w:ascii="仿宋_GB2312" w:hAnsi="仿宋" w:eastAsia="仿宋_GB2312"/>
                <w:b/>
              </w:rPr>
            </w:pPr>
            <w:r>
              <w:rPr>
                <w:rFonts w:hint="eastAsia" w:ascii="仿宋_GB2312" w:hAnsi="仿宋" w:eastAsia="仿宋_GB2312"/>
                <w:b/>
              </w:rPr>
              <w:t>姓名</w:t>
            </w:r>
          </w:p>
        </w:tc>
        <w:tc>
          <w:tcPr>
            <w:tcW w:w="888" w:type="dxa"/>
            <w:vAlign w:val="center"/>
          </w:tcPr>
          <w:p>
            <w:pPr>
              <w:jc w:val="center"/>
              <w:rPr>
                <w:rFonts w:ascii="仿宋_GB2312" w:hAnsi="仿宋" w:eastAsia="仿宋_GB2312"/>
                <w:b/>
              </w:rPr>
            </w:pPr>
            <w:r>
              <w:rPr>
                <w:rFonts w:hint="eastAsia" w:ascii="仿宋_GB2312" w:hAnsi="仿宋" w:eastAsia="仿宋_GB2312"/>
                <w:b/>
              </w:rPr>
              <w:t>性别</w:t>
            </w:r>
          </w:p>
        </w:tc>
        <w:tc>
          <w:tcPr>
            <w:tcW w:w="2662" w:type="dxa"/>
            <w:vAlign w:val="center"/>
          </w:tcPr>
          <w:p>
            <w:pPr>
              <w:jc w:val="center"/>
              <w:rPr>
                <w:rFonts w:ascii="仿宋_GB2312" w:hAnsi="仿宋" w:eastAsia="仿宋_GB2312"/>
                <w:b/>
              </w:rPr>
            </w:pPr>
            <w:r>
              <w:rPr>
                <w:rFonts w:hint="eastAsia" w:ascii="仿宋_GB2312" w:hAnsi="仿宋" w:eastAsia="仿宋_GB2312"/>
                <w:b/>
              </w:rPr>
              <w:t>身份证号</w:t>
            </w:r>
          </w:p>
        </w:tc>
        <w:tc>
          <w:tcPr>
            <w:tcW w:w="2190" w:type="dxa"/>
            <w:vAlign w:val="center"/>
          </w:tcPr>
          <w:p>
            <w:pPr>
              <w:jc w:val="center"/>
              <w:rPr>
                <w:rFonts w:ascii="仿宋_GB2312" w:hAnsi="仿宋" w:eastAsia="仿宋_GB2312"/>
                <w:b/>
              </w:rPr>
            </w:pPr>
            <w:r>
              <w:rPr>
                <w:rFonts w:hint="eastAsia" w:ascii="仿宋_GB2312" w:hAnsi="仿宋" w:eastAsia="仿宋_GB2312"/>
                <w:b/>
              </w:rPr>
              <w:t>工作单位或家庭住址</w:t>
            </w:r>
          </w:p>
        </w:tc>
        <w:tc>
          <w:tcPr>
            <w:tcW w:w="1860" w:type="dxa"/>
            <w:vAlign w:val="center"/>
          </w:tcPr>
          <w:p>
            <w:pPr>
              <w:jc w:val="center"/>
              <w:rPr>
                <w:rFonts w:ascii="仿宋_GB2312" w:hAnsi="仿宋" w:eastAsia="仿宋_GB2312"/>
                <w:b/>
              </w:rPr>
            </w:pPr>
            <w:r>
              <w:rPr>
                <w:rFonts w:hint="eastAsia" w:ascii="仿宋_GB2312" w:hAnsi="仿宋" w:eastAsia="仿宋_GB2312"/>
                <w:b/>
              </w:rPr>
              <w:t>慰问原因</w:t>
            </w:r>
          </w:p>
        </w:tc>
        <w:tc>
          <w:tcPr>
            <w:tcW w:w="1545" w:type="dxa"/>
            <w:vAlign w:val="center"/>
          </w:tcPr>
          <w:p>
            <w:pPr>
              <w:jc w:val="center"/>
              <w:rPr>
                <w:rFonts w:ascii="仿宋_GB2312" w:hAnsi="仿宋" w:eastAsia="仿宋_GB2312"/>
                <w:b/>
              </w:rPr>
            </w:pPr>
            <w:r>
              <w:rPr>
                <w:rFonts w:hint="eastAsia" w:ascii="仿宋_GB2312" w:hAnsi="仿宋" w:eastAsia="仿宋_GB2312"/>
                <w:b/>
              </w:rPr>
              <w:t>慰问金额（元）</w:t>
            </w:r>
          </w:p>
        </w:tc>
        <w:tc>
          <w:tcPr>
            <w:tcW w:w="1308" w:type="dxa"/>
            <w:vAlign w:val="center"/>
          </w:tcPr>
          <w:p>
            <w:pPr>
              <w:jc w:val="center"/>
              <w:rPr>
                <w:rFonts w:ascii="仿宋_GB2312" w:hAnsi="仿宋" w:eastAsia="仿宋_GB2312"/>
                <w:b/>
              </w:rPr>
            </w:pPr>
            <w:r>
              <w:rPr>
                <w:rFonts w:hint="eastAsia" w:ascii="仿宋_GB2312" w:hAnsi="仿宋" w:eastAsia="仿宋_GB2312"/>
                <w:b/>
              </w:rPr>
              <w:t>联系电话</w:t>
            </w:r>
          </w:p>
        </w:tc>
        <w:tc>
          <w:tcPr>
            <w:tcW w:w="1701" w:type="dxa"/>
            <w:vAlign w:val="center"/>
          </w:tcPr>
          <w:p>
            <w:pPr>
              <w:jc w:val="center"/>
              <w:rPr>
                <w:rFonts w:ascii="仿宋_GB2312" w:hAnsi="仿宋" w:eastAsia="仿宋_GB2312"/>
                <w:b/>
              </w:rPr>
            </w:pPr>
            <w:r>
              <w:rPr>
                <w:rFonts w:hint="eastAsia" w:ascii="仿宋_GB2312" w:hAnsi="仿宋" w:eastAsia="仿宋_GB2312"/>
                <w:b/>
              </w:rPr>
              <w:t>签</w:t>
            </w:r>
            <w:r>
              <w:rPr>
                <w:rFonts w:ascii="仿宋_GB2312" w:hAnsi="仿宋" w:eastAsia="仿宋_GB2312"/>
                <w:b/>
              </w:rPr>
              <w:t xml:space="preserve">  </w:t>
            </w:r>
            <w:r>
              <w:rPr>
                <w:rFonts w:hint="eastAsia" w:ascii="仿宋_GB2312" w:hAnsi="仿宋" w:eastAsia="仿宋_GB2312"/>
                <w:b/>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639" w:type="dxa"/>
            <w:vAlign w:val="center"/>
          </w:tcPr>
          <w:p>
            <w:pPr>
              <w:jc w:val="center"/>
              <w:rPr>
                <w:b/>
              </w:rPr>
            </w:pPr>
          </w:p>
        </w:tc>
        <w:tc>
          <w:tcPr>
            <w:tcW w:w="1065" w:type="dxa"/>
            <w:vAlign w:val="center"/>
          </w:tcPr>
          <w:p>
            <w:pPr>
              <w:jc w:val="center"/>
              <w:rPr>
                <w:b/>
              </w:rPr>
            </w:pPr>
          </w:p>
        </w:tc>
        <w:tc>
          <w:tcPr>
            <w:tcW w:w="888" w:type="dxa"/>
            <w:vAlign w:val="center"/>
          </w:tcPr>
          <w:p>
            <w:pPr>
              <w:jc w:val="center"/>
              <w:rPr>
                <w:b/>
              </w:rPr>
            </w:pPr>
          </w:p>
        </w:tc>
        <w:tc>
          <w:tcPr>
            <w:tcW w:w="2662" w:type="dxa"/>
            <w:vAlign w:val="center"/>
          </w:tcPr>
          <w:p>
            <w:pPr>
              <w:jc w:val="center"/>
              <w:rPr>
                <w:b/>
              </w:rPr>
            </w:pPr>
          </w:p>
        </w:tc>
        <w:tc>
          <w:tcPr>
            <w:tcW w:w="2190" w:type="dxa"/>
            <w:vAlign w:val="center"/>
          </w:tcPr>
          <w:p>
            <w:pPr>
              <w:jc w:val="center"/>
              <w:rPr>
                <w:b/>
              </w:rPr>
            </w:pPr>
          </w:p>
        </w:tc>
        <w:tc>
          <w:tcPr>
            <w:tcW w:w="1860" w:type="dxa"/>
            <w:vAlign w:val="center"/>
          </w:tcPr>
          <w:p>
            <w:pPr>
              <w:jc w:val="center"/>
              <w:rPr>
                <w:b/>
              </w:rPr>
            </w:pPr>
          </w:p>
        </w:tc>
        <w:tc>
          <w:tcPr>
            <w:tcW w:w="1545" w:type="dxa"/>
            <w:vAlign w:val="center"/>
          </w:tcPr>
          <w:p>
            <w:pPr>
              <w:jc w:val="center"/>
              <w:rPr>
                <w:b/>
              </w:rPr>
            </w:pPr>
          </w:p>
        </w:tc>
        <w:tc>
          <w:tcPr>
            <w:tcW w:w="1308" w:type="dxa"/>
            <w:vAlign w:val="center"/>
          </w:tcPr>
          <w:p>
            <w:pPr>
              <w:jc w:val="center"/>
              <w:rPr>
                <w:b/>
              </w:rPr>
            </w:pPr>
          </w:p>
        </w:tc>
        <w:tc>
          <w:tcPr>
            <w:tcW w:w="1701" w:type="dxa"/>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639" w:type="dxa"/>
            <w:vAlign w:val="center"/>
          </w:tcPr>
          <w:p>
            <w:pPr>
              <w:jc w:val="center"/>
              <w:rPr>
                <w:b/>
              </w:rPr>
            </w:pPr>
          </w:p>
        </w:tc>
        <w:tc>
          <w:tcPr>
            <w:tcW w:w="1065" w:type="dxa"/>
            <w:vAlign w:val="center"/>
          </w:tcPr>
          <w:p>
            <w:pPr>
              <w:jc w:val="center"/>
              <w:rPr>
                <w:b/>
              </w:rPr>
            </w:pPr>
          </w:p>
        </w:tc>
        <w:tc>
          <w:tcPr>
            <w:tcW w:w="888" w:type="dxa"/>
            <w:vAlign w:val="center"/>
          </w:tcPr>
          <w:p>
            <w:pPr>
              <w:jc w:val="center"/>
              <w:rPr>
                <w:b/>
              </w:rPr>
            </w:pPr>
          </w:p>
        </w:tc>
        <w:tc>
          <w:tcPr>
            <w:tcW w:w="2662" w:type="dxa"/>
            <w:vAlign w:val="center"/>
          </w:tcPr>
          <w:p>
            <w:pPr>
              <w:jc w:val="center"/>
              <w:rPr>
                <w:b/>
              </w:rPr>
            </w:pPr>
          </w:p>
        </w:tc>
        <w:tc>
          <w:tcPr>
            <w:tcW w:w="2190" w:type="dxa"/>
            <w:vAlign w:val="center"/>
          </w:tcPr>
          <w:p>
            <w:pPr>
              <w:jc w:val="center"/>
              <w:rPr>
                <w:b/>
              </w:rPr>
            </w:pPr>
          </w:p>
        </w:tc>
        <w:tc>
          <w:tcPr>
            <w:tcW w:w="1860" w:type="dxa"/>
            <w:vAlign w:val="center"/>
          </w:tcPr>
          <w:p>
            <w:pPr>
              <w:jc w:val="center"/>
              <w:rPr>
                <w:b/>
              </w:rPr>
            </w:pPr>
          </w:p>
        </w:tc>
        <w:tc>
          <w:tcPr>
            <w:tcW w:w="1545" w:type="dxa"/>
            <w:vAlign w:val="center"/>
          </w:tcPr>
          <w:p>
            <w:pPr>
              <w:jc w:val="center"/>
              <w:rPr>
                <w:b/>
              </w:rPr>
            </w:pPr>
          </w:p>
        </w:tc>
        <w:tc>
          <w:tcPr>
            <w:tcW w:w="1308" w:type="dxa"/>
            <w:vAlign w:val="center"/>
          </w:tcPr>
          <w:p>
            <w:pPr>
              <w:jc w:val="center"/>
              <w:rPr>
                <w:b/>
              </w:rPr>
            </w:pPr>
          </w:p>
        </w:tc>
        <w:tc>
          <w:tcPr>
            <w:tcW w:w="1701" w:type="dxa"/>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639" w:type="dxa"/>
            <w:vAlign w:val="center"/>
          </w:tcPr>
          <w:p>
            <w:pPr>
              <w:jc w:val="center"/>
              <w:rPr>
                <w:b/>
              </w:rPr>
            </w:pPr>
          </w:p>
        </w:tc>
        <w:tc>
          <w:tcPr>
            <w:tcW w:w="1065" w:type="dxa"/>
            <w:vAlign w:val="center"/>
          </w:tcPr>
          <w:p>
            <w:pPr>
              <w:jc w:val="center"/>
              <w:rPr>
                <w:b/>
              </w:rPr>
            </w:pPr>
          </w:p>
        </w:tc>
        <w:tc>
          <w:tcPr>
            <w:tcW w:w="888" w:type="dxa"/>
            <w:vAlign w:val="center"/>
          </w:tcPr>
          <w:p>
            <w:pPr>
              <w:jc w:val="center"/>
              <w:rPr>
                <w:b/>
              </w:rPr>
            </w:pPr>
          </w:p>
        </w:tc>
        <w:tc>
          <w:tcPr>
            <w:tcW w:w="2662" w:type="dxa"/>
            <w:vAlign w:val="center"/>
          </w:tcPr>
          <w:p>
            <w:pPr>
              <w:jc w:val="center"/>
              <w:rPr>
                <w:b/>
              </w:rPr>
            </w:pPr>
          </w:p>
        </w:tc>
        <w:tc>
          <w:tcPr>
            <w:tcW w:w="2190" w:type="dxa"/>
            <w:vAlign w:val="center"/>
          </w:tcPr>
          <w:p>
            <w:pPr>
              <w:jc w:val="center"/>
              <w:rPr>
                <w:b/>
              </w:rPr>
            </w:pPr>
          </w:p>
        </w:tc>
        <w:tc>
          <w:tcPr>
            <w:tcW w:w="1860" w:type="dxa"/>
            <w:vAlign w:val="center"/>
          </w:tcPr>
          <w:p>
            <w:pPr>
              <w:jc w:val="center"/>
              <w:rPr>
                <w:b/>
              </w:rPr>
            </w:pPr>
          </w:p>
        </w:tc>
        <w:tc>
          <w:tcPr>
            <w:tcW w:w="1545" w:type="dxa"/>
            <w:vAlign w:val="center"/>
          </w:tcPr>
          <w:p>
            <w:pPr>
              <w:jc w:val="center"/>
              <w:rPr>
                <w:b/>
              </w:rPr>
            </w:pPr>
          </w:p>
        </w:tc>
        <w:tc>
          <w:tcPr>
            <w:tcW w:w="1308" w:type="dxa"/>
            <w:vAlign w:val="center"/>
          </w:tcPr>
          <w:p>
            <w:pPr>
              <w:jc w:val="center"/>
              <w:rPr>
                <w:b/>
              </w:rPr>
            </w:pPr>
          </w:p>
        </w:tc>
        <w:tc>
          <w:tcPr>
            <w:tcW w:w="1701" w:type="dxa"/>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639" w:type="dxa"/>
            <w:vAlign w:val="center"/>
          </w:tcPr>
          <w:p>
            <w:pPr>
              <w:jc w:val="center"/>
              <w:rPr>
                <w:b/>
              </w:rPr>
            </w:pPr>
          </w:p>
        </w:tc>
        <w:tc>
          <w:tcPr>
            <w:tcW w:w="1065" w:type="dxa"/>
            <w:vAlign w:val="center"/>
          </w:tcPr>
          <w:p>
            <w:pPr>
              <w:jc w:val="center"/>
              <w:rPr>
                <w:b/>
              </w:rPr>
            </w:pPr>
          </w:p>
        </w:tc>
        <w:tc>
          <w:tcPr>
            <w:tcW w:w="888" w:type="dxa"/>
            <w:vAlign w:val="center"/>
          </w:tcPr>
          <w:p>
            <w:pPr>
              <w:jc w:val="center"/>
              <w:rPr>
                <w:b/>
              </w:rPr>
            </w:pPr>
          </w:p>
        </w:tc>
        <w:tc>
          <w:tcPr>
            <w:tcW w:w="2662" w:type="dxa"/>
            <w:vAlign w:val="center"/>
          </w:tcPr>
          <w:p>
            <w:pPr>
              <w:jc w:val="center"/>
              <w:rPr>
                <w:b/>
              </w:rPr>
            </w:pPr>
          </w:p>
        </w:tc>
        <w:tc>
          <w:tcPr>
            <w:tcW w:w="2190" w:type="dxa"/>
            <w:vAlign w:val="center"/>
          </w:tcPr>
          <w:p>
            <w:pPr>
              <w:jc w:val="center"/>
              <w:rPr>
                <w:b/>
              </w:rPr>
            </w:pPr>
          </w:p>
        </w:tc>
        <w:tc>
          <w:tcPr>
            <w:tcW w:w="1860" w:type="dxa"/>
            <w:vAlign w:val="center"/>
          </w:tcPr>
          <w:p>
            <w:pPr>
              <w:jc w:val="center"/>
              <w:rPr>
                <w:b/>
              </w:rPr>
            </w:pPr>
          </w:p>
        </w:tc>
        <w:tc>
          <w:tcPr>
            <w:tcW w:w="1545" w:type="dxa"/>
            <w:vAlign w:val="center"/>
          </w:tcPr>
          <w:p>
            <w:pPr>
              <w:jc w:val="center"/>
              <w:rPr>
                <w:b/>
              </w:rPr>
            </w:pPr>
          </w:p>
        </w:tc>
        <w:tc>
          <w:tcPr>
            <w:tcW w:w="1308" w:type="dxa"/>
            <w:vAlign w:val="center"/>
          </w:tcPr>
          <w:p>
            <w:pPr>
              <w:jc w:val="center"/>
              <w:rPr>
                <w:b/>
              </w:rPr>
            </w:pPr>
          </w:p>
        </w:tc>
        <w:tc>
          <w:tcPr>
            <w:tcW w:w="1701" w:type="dxa"/>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639" w:type="dxa"/>
            <w:vAlign w:val="center"/>
          </w:tcPr>
          <w:p>
            <w:pPr>
              <w:jc w:val="center"/>
              <w:rPr>
                <w:b/>
              </w:rPr>
            </w:pPr>
          </w:p>
        </w:tc>
        <w:tc>
          <w:tcPr>
            <w:tcW w:w="1065" w:type="dxa"/>
            <w:vAlign w:val="center"/>
          </w:tcPr>
          <w:p>
            <w:pPr>
              <w:jc w:val="center"/>
              <w:rPr>
                <w:b/>
              </w:rPr>
            </w:pPr>
          </w:p>
        </w:tc>
        <w:tc>
          <w:tcPr>
            <w:tcW w:w="888" w:type="dxa"/>
            <w:vAlign w:val="center"/>
          </w:tcPr>
          <w:p>
            <w:pPr>
              <w:jc w:val="center"/>
              <w:rPr>
                <w:b/>
              </w:rPr>
            </w:pPr>
          </w:p>
        </w:tc>
        <w:tc>
          <w:tcPr>
            <w:tcW w:w="2662" w:type="dxa"/>
            <w:vAlign w:val="center"/>
          </w:tcPr>
          <w:p>
            <w:pPr>
              <w:jc w:val="center"/>
              <w:rPr>
                <w:b/>
              </w:rPr>
            </w:pPr>
          </w:p>
        </w:tc>
        <w:tc>
          <w:tcPr>
            <w:tcW w:w="2190" w:type="dxa"/>
            <w:vAlign w:val="center"/>
          </w:tcPr>
          <w:p>
            <w:pPr>
              <w:jc w:val="center"/>
              <w:rPr>
                <w:b/>
              </w:rPr>
            </w:pPr>
          </w:p>
        </w:tc>
        <w:tc>
          <w:tcPr>
            <w:tcW w:w="1860" w:type="dxa"/>
            <w:vAlign w:val="center"/>
          </w:tcPr>
          <w:p>
            <w:pPr>
              <w:jc w:val="center"/>
              <w:rPr>
                <w:b/>
              </w:rPr>
            </w:pPr>
          </w:p>
        </w:tc>
        <w:tc>
          <w:tcPr>
            <w:tcW w:w="1545" w:type="dxa"/>
            <w:vAlign w:val="center"/>
          </w:tcPr>
          <w:p>
            <w:pPr>
              <w:jc w:val="center"/>
              <w:rPr>
                <w:b/>
              </w:rPr>
            </w:pPr>
          </w:p>
        </w:tc>
        <w:tc>
          <w:tcPr>
            <w:tcW w:w="1308" w:type="dxa"/>
            <w:vAlign w:val="center"/>
          </w:tcPr>
          <w:p>
            <w:pPr>
              <w:jc w:val="center"/>
              <w:rPr>
                <w:b/>
              </w:rPr>
            </w:pPr>
          </w:p>
        </w:tc>
        <w:tc>
          <w:tcPr>
            <w:tcW w:w="1701" w:type="dxa"/>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639" w:type="dxa"/>
            <w:vAlign w:val="center"/>
          </w:tcPr>
          <w:p>
            <w:pPr>
              <w:jc w:val="center"/>
              <w:rPr>
                <w:b/>
              </w:rPr>
            </w:pPr>
          </w:p>
        </w:tc>
        <w:tc>
          <w:tcPr>
            <w:tcW w:w="1065" w:type="dxa"/>
            <w:vAlign w:val="center"/>
          </w:tcPr>
          <w:p>
            <w:pPr>
              <w:jc w:val="center"/>
              <w:rPr>
                <w:b/>
              </w:rPr>
            </w:pPr>
          </w:p>
        </w:tc>
        <w:tc>
          <w:tcPr>
            <w:tcW w:w="888" w:type="dxa"/>
            <w:vAlign w:val="center"/>
          </w:tcPr>
          <w:p>
            <w:pPr>
              <w:jc w:val="center"/>
              <w:rPr>
                <w:b/>
              </w:rPr>
            </w:pPr>
          </w:p>
        </w:tc>
        <w:tc>
          <w:tcPr>
            <w:tcW w:w="2662" w:type="dxa"/>
            <w:vAlign w:val="center"/>
          </w:tcPr>
          <w:p>
            <w:pPr>
              <w:jc w:val="center"/>
              <w:rPr>
                <w:b/>
              </w:rPr>
            </w:pPr>
          </w:p>
        </w:tc>
        <w:tc>
          <w:tcPr>
            <w:tcW w:w="2190" w:type="dxa"/>
            <w:vAlign w:val="center"/>
          </w:tcPr>
          <w:p>
            <w:pPr>
              <w:jc w:val="center"/>
              <w:rPr>
                <w:b/>
              </w:rPr>
            </w:pPr>
          </w:p>
        </w:tc>
        <w:tc>
          <w:tcPr>
            <w:tcW w:w="1860" w:type="dxa"/>
            <w:vAlign w:val="center"/>
          </w:tcPr>
          <w:p>
            <w:pPr>
              <w:jc w:val="center"/>
              <w:rPr>
                <w:b/>
              </w:rPr>
            </w:pPr>
          </w:p>
        </w:tc>
        <w:tc>
          <w:tcPr>
            <w:tcW w:w="1545" w:type="dxa"/>
            <w:vAlign w:val="center"/>
          </w:tcPr>
          <w:p>
            <w:pPr>
              <w:jc w:val="center"/>
              <w:rPr>
                <w:b/>
              </w:rPr>
            </w:pPr>
          </w:p>
        </w:tc>
        <w:tc>
          <w:tcPr>
            <w:tcW w:w="1308" w:type="dxa"/>
            <w:vAlign w:val="center"/>
          </w:tcPr>
          <w:p>
            <w:pPr>
              <w:jc w:val="center"/>
              <w:rPr>
                <w:b/>
              </w:rPr>
            </w:pPr>
          </w:p>
        </w:tc>
        <w:tc>
          <w:tcPr>
            <w:tcW w:w="1701" w:type="dxa"/>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639" w:type="dxa"/>
            <w:vAlign w:val="center"/>
          </w:tcPr>
          <w:p>
            <w:pPr>
              <w:jc w:val="center"/>
              <w:rPr>
                <w:b/>
              </w:rPr>
            </w:pPr>
          </w:p>
        </w:tc>
        <w:tc>
          <w:tcPr>
            <w:tcW w:w="1065" w:type="dxa"/>
            <w:vAlign w:val="center"/>
          </w:tcPr>
          <w:p>
            <w:pPr>
              <w:jc w:val="center"/>
              <w:rPr>
                <w:b/>
              </w:rPr>
            </w:pPr>
          </w:p>
        </w:tc>
        <w:tc>
          <w:tcPr>
            <w:tcW w:w="888" w:type="dxa"/>
            <w:vAlign w:val="center"/>
          </w:tcPr>
          <w:p>
            <w:pPr>
              <w:jc w:val="center"/>
              <w:rPr>
                <w:b/>
              </w:rPr>
            </w:pPr>
          </w:p>
        </w:tc>
        <w:tc>
          <w:tcPr>
            <w:tcW w:w="2662" w:type="dxa"/>
            <w:vAlign w:val="center"/>
          </w:tcPr>
          <w:p>
            <w:pPr>
              <w:jc w:val="center"/>
              <w:rPr>
                <w:b/>
              </w:rPr>
            </w:pPr>
          </w:p>
        </w:tc>
        <w:tc>
          <w:tcPr>
            <w:tcW w:w="2190" w:type="dxa"/>
            <w:vAlign w:val="center"/>
          </w:tcPr>
          <w:p>
            <w:pPr>
              <w:jc w:val="center"/>
              <w:rPr>
                <w:b/>
              </w:rPr>
            </w:pPr>
          </w:p>
        </w:tc>
        <w:tc>
          <w:tcPr>
            <w:tcW w:w="1860" w:type="dxa"/>
            <w:vAlign w:val="center"/>
          </w:tcPr>
          <w:p>
            <w:pPr>
              <w:jc w:val="center"/>
              <w:rPr>
                <w:b/>
              </w:rPr>
            </w:pPr>
          </w:p>
        </w:tc>
        <w:tc>
          <w:tcPr>
            <w:tcW w:w="1545" w:type="dxa"/>
            <w:vAlign w:val="center"/>
          </w:tcPr>
          <w:p>
            <w:pPr>
              <w:jc w:val="center"/>
              <w:rPr>
                <w:b/>
              </w:rPr>
            </w:pPr>
          </w:p>
        </w:tc>
        <w:tc>
          <w:tcPr>
            <w:tcW w:w="1308" w:type="dxa"/>
            <w:vAlign w:val="center"/>
          </w:tcPr>
          <w:p>
            <w:pPr>
              <w:jc w:val="center"/>
              <w:rPr>
                <w:b/>
              </w:rPr>
            </w:pPr>
          </w:p>
        </w:tc>
        <w:tc>
          <w:tcPr>
            <w:tcW w:w="1701" w:type="dxa"/>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639" w:type="dxa"/>
            <w:vAlign w:val="center"/>
          </w:tcPr>
          <w:p>
            <w:pPr>
              <w:jc w:val="center"/>
              <w:rPr>
                <w:b/>
              </w:rPr>
            </w:pPr>
          </w:p>
        </w:tc>
        <w:tc>
          <w:tcPr>
            <w:tcW w:w="1065" w:type="dxa"/>
            <w:vAlign w:val="center"/>
          </w:tcPr>
          <w:p>
            <w:pPr>
              <w:jc w:val="center"/>
              <w:rPr>
                <w:b/>
              </w:rPr>
            </w:pPr>
          </w:p>
        </w:tc>
        <w:tc>
          <w:tcPr>
            <w:tcW w:w="888" w:type="dxa"/>
            <w:vAlign w:val="center"/>
          </w:tcPr>
          <w:p>
            <w:pPr>
              <w:jc w:val="center"/>
              <w:rPr>
                <w:b/>
              </w:rPr>
            </w:pPr>
          </w:p>
        </w:tc>
        <w:tc>
          <w:tcPr>
            <w:tcW w:w="2662" w:type="dxa"/>
            <w:vAlign w:val="center"/>
          </w:tcPr>
          <w:p>
            <w:pPr>
              <w:jc w:val="center"/>
              <w:rPr>
                <w:b/>
              </w:rPr>
            </w:pPr>
          </w:p>
        </w:tc>
        <w:tc>
          <w:tcPr>
            <w:tcW w:w="2190" w:type="dxa"/>
            <w:vAlign w:val="center"/>
          </w:tcPr>
          <w:p>
            <w:pPr>
              <w:jc w:val="center"/>
              <w:rPr>
                <w:b/>
              </w:rPr>
            </w:pPr>
          </w:p>
        </w:tc>
        <w:tc>
          <w:tcPr>
            <w:tcW w:w="1860" w:type="dxa"/>
            <w:vAlign w:val="center"/>
          </w:tcPr>
          <w:p>
            <w:pPr>
              <w:jc w:val="center"/>
              <w:rPr>
                <w:b/>
              </w:rPr>
            </w:pPr>
          </w:p>
        </w:tc>
        <w:tc>
          <w:tcPr>
            <w:tcW w:w="1545" w:type="dxa"/>
            <w:vAlign w:val="center"/>
          </w:tcPr>
          <w:p>
            <w:pPr>
              <w:jc w:val="center"/>
              <w:rPr>
                <w:b/>
              </w:rPr>
            </w:pPr>
          </w:p>
        </w:tc>
        <w:tc>
          <w:tcPr>
            <w:tcW w:w="1308" w:type="dxa"/>
            <w:vAlign w:val="center"/>
          </w:tcPr>
          <w:p>
            <w:pPr>
              <w:jc w:val="center"/>
              <w:rPr>
                <w:b/>
              </w:rPr>
            </w:pPr>
          </w:p>
        </w:tc>
        <w:tc>
          <w:tcPr>
            <w:tcW w:w="1701" w:type="dxa"/>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639" w:type="dxa"/>
            <w:vAlign w:val="center"/>
          </w:tcPr>
          <w:p>
            <w:pPr>
              <w:jc w:val="center"/>
              <w:rPr>
                <w:b/>
              </w:rPr>
            </w:pPr>
          </w:p>
        </w:tc>
        <w:tc>
          <w:tcPr>
            <w:tcW w:w="1065" w:type="dxa"/>
            <w:vAlign w:val="center"/>
          </w:tcPr>
          <w:p>
            <w:pPr>
              <w:jc w:val="center"/>
              <w:rPr>
                <w:b/>
              </w:rPr>
            </w:pPr>
          </w:p>
        </w:tc>
        <w:tc>
          <w:tcPr>
            <w:tcW w:w="888" w:type="dxa"/>
            <w:vAlign w:val="center"/>
          </w:tcPr>
          <w:p>
            <w:pPr>
              <w:jc w:val="center"/>
              <w:rPr>
                <w:b/>
              </w:rPr>
            </w:pPr>
          </w:p>
        </w:tc>
        <w:tc>
          <w:tcPr>
            <w:tcW w:w="2662" w:type="dxa"/>
            <w:vAlign w:val="center"/>
          </w:tcPr>
          <w:p>
            <w:pPr>
              <w:jc w:val="center"/>
              <w:rPr>
                <w:b/>
              </w:rPr>
            </w:pPr>
          </w:p>
        </w:tc>
        <w:tc>
          <w:tcPr>
            <w:tcW w:w="2190" w:type="dxa"/>
            <w:vAlign w:val="center"/>
          </w:tcPr>
          <w:p>
            <w:pPr>
              <w:jc w:val="center"/>
              <w:rPr>
                <w:b/>
              </w:rPr>
            </w:pPr>
          </w:p>
        </w:tc>
        <w:tc>
          <w:tcPr>
            <w:tcW w:w="1860" w:type="dxa"/>
            <w:vAlign w:val="center"/>
          </w:tcPr>
          <w:p>
            <w:pPr>
              <w:jc w:val="center"/>
              <w:rPr>
                <w:b/>
              </w:rPr>
            </w:pPr>
          </w:p>
        </w:tc>
        <w:tc>
          <w:tcPr>
            <w:tcW w:w="1545" w:type="dxa"/>
            <w:vAlign w:val="center"/>
          </w:tcPr>
          <w:p>
            <w:pPr>
              <w:jc w:val="center"/>
              <w:rPr>
                <w:b/>
              </w:rPr>
            </w:pPr>
          </w:p>
        </w:tc>
        <w:tc>
          <w:tcPr>
            <w:tcW w:w="1308" w:type="dxa"/>
            <w:vAlign w:val="center"/>
          </w:tcPr>
          <w:p>
            <w:pPr>
              <w:jc w:val="center"/>
              <w:rPr>
                <w:b/>
              </w:rPr>
            </w:pPr>
          </w:p>
        </w:tc>
        <w:tc>
          <w:tcPr>
            <w:tcW w:w="1701" w:type="dxa"/>
            <w:vAlign w:val="center"/>
          </w:tcPr>
          <w:p>
            <w:pPr>
              <w:jc w:val="center"/>
              <w:rPr>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639" w:type="dxa"/>
            <w:vAlign w:val="center"/>
          </w:tcPr>
          <w:p>
            <w:pPr>
              <w:jc w:val="center"/>
              <w:rPr>
                <w:b/>
              </w:rPr>
            </w:pPr>
          </w:p>
        </w:tc>
        <w:tc>
          <w:tcPr>
            <w:tcW w:w="1065" w:type="dxa"/>
            <w:vAlign w:val="center"/>
          </w:tcPr>
          <w:p>
            <w:pPr>
              <w:jc w:val="center"/>
              <w:rPr>
                <w:b/>
              </w:rPr>
            </w:pPr>
          </w:p>
        </w:tc>
        <w:tc>
          <w:tcPr>
            <w:tcW w:w="888" w:type="dxa"/>
            <w:vAlign w:val="center"/>
          </w:tcPr>
          <w:p>
            <w:pPr>
              <w:jc w:val="center"/>
              <w:rPr>
                <w:b/>
              </w:rPr>
            </w:pPr>
          </w:p>
        </w:tc>
        <w:tc>
          <w:tcPr>
            <w:tcW w:w="2662" w:type="dxa"/>
            <w:vAlign w:val="center"/>
          </w:tcPr>
          <w:p>
            <w:pPr>
              <w:jc w:val="center"/>
              <w:rPr>
                <w:b/>
              </w:rPr>
            </w:pPr>
          </w:p>
        </w:tc>
        <w:tc>
          <w:tcPr>
            <w:tcW w:w="2190" w:type="dxa"/>
            <w:vAlign w:val="center"/>
          </w:tcPr>
          <w:p>
            <w:pPr>
              <w:jc w:val="center"/>
              <w:rPr>
                <w:b/>
              </w:rPr>
            </w:pPr>
          </w:p>
        </w:tc>
        <w:tc>
          <w:tcPr>
            <w:tcW w:w="1860" w:type="dxa"/>
            <w:vAlign w:val="center"/>
          </w:tcPr>
          <w:p>
            <w:pPr>
              <w:jc w:val="center"/>
              <w:rPr>
                <w:b/>
              </w:rPr>
            </w:pPr>
          </w:p>
        </w:tc>
        <w:tc>
          <w:tcPr>
            <w:tcW w:w="1545" w:type="dxa"/>
            <w:vAlign w:val="center"/>
          </w:tcPr>
          <w:p>
            <w:pPr>
              <w:jc w:val="center"/>
              <w:rPr>
                <w:b/>
              </w:rPr>
            </w:pPr>
          </w:p>
        </w:tc>
        <w:tc>
          <w:tcPr>
            <w:tcW w:w="1308" w:type="dxa"/>
            <w:vAlign w:val="center"/>
          </w:tcPr>
          <w:p>
            <w:pPr>
              <w:jc w:val="center"/>
              <w:rPr>
                <w:b/>
              </w:rPr>
            </w:pPr>
          </w:p>
        </w:tc>
        <w:tc>
          <w:tcPr>
            <w:tcW w:w="1701" w:type="dxa"/>
            <w:vAlign w:val="center"/>
          </w:tcPr>
          <w:p>
            <w:pPr>
              <w:jc w:val="center"/>
              <w:rPr>
                <w:b/>
              </w:rPr>
            </w:pPr>
          </w:p>
        </w:tc>
      </w:tr>
    </w:tbl>
    <w:p>
      <w:pPr>
        <w:numPr>
          <w:ilvl w:val="255"/>
          <w:numId w:val="0"/>
        </w:numPr>
        <w:spacing w:line="360" w:lineRule="auto"/>
        <w:rPr>
          <w:rFonts w:ascii="楷体_GB2312" w:hAnsi="楷体" w:eastAsia="楷体_GB2312" w:cs="仿宋_GB2312"/>
          <w:b/>
          <w:sz w:val="32"/>
          <w:szCs w:val="32"/>
        </w:rPr>
        <w:sectPr>
          <w:pgSz w:w="16838" w:h="11906" w:orient="landscape"/>
          <w:pgMar w:top="2098" w:right="1474" w:bottom="1871" w:left="1588" w:header="851" w:footer="1418" w:gutter="0"/>
          <w:cols w:space="425" w:num="1"/>
          <w:docGrid w:type="linesAndChars" w:linePitch="312" w:charSpace="0"/>
        </w:sectPr>
      </w:pPr>
      <w:r>
        <w:rPr>
          <w:rFonts w:hint="eastAsia" w:ascii="楷体_GB2312" w:hAnsi="楷体" w:eastAsia="楷体_GB2312" w:cs="仿宋_GB2312"/>
          <w:b/>
          <w:sz w:val="32"/>
          <w:szCs w:val="32"/>
        </w:rPr>
        <w:t>负责人签字：</w:t>
      </w:r>
      <w:r>
        <w:rPr>
          <w:rFonts w:ascii="楷体_GB2312" w:hAnsi="楷体" w:eastAsia="楷体_GB2312" w:cs="仿宋_GB2312"/>
          <w:b/>
          <w:sz w:val="32"/>
          <w:szCs w:val="32"/>
        </w:rPr>
        <w:t xml:space="preserve">               </w:t>
      </w:r>
      <w:r>
        <w:rPr>
          <w:rFonts w:hint="eastAsia" w:ascii="楷体_GB2312" w:hAnsi="楷体" w:eastAsia="楷体_GB2312" w:cs="仿宋_GB2312"/>
          <w:b/>
          <w:sz w:val="32"/>
          <w:szCs w:val="32"/>
        </w:rPr>
        <w:t>经办人签字</w:t>
      </w:r>
    </w:p>
    <w:p>
      <w:pPr>
        <w:numPr>
          <w:ilvl w:val="255"/>
          <w:numId w:val="0"/>
        </w:numPr>
        <w:spacing w:line="240" w:lineRule="exact"/>
        <w:rPr>
          <w:rFonts w:ascii="楷体_GB2312" w:hAnsi="楷体" w:eastAsia="楷体_GB2312" w:cs="仿宋_GB2312"/>
          <w:b/>
          <w:sz w:val="32"/>
          <w:szCs w:val="32"/>
        </w:rPr>
        <w:sectPr>
          <w:pgSz w:w="11906" w:h="16838"/>
          <w:pgMar w:top="2098" w:right="1474" w:bottom="1871" w:left="1588" w:header="851" w:footer="1418" w:gutter="0"/>
          <w:cols w:space="425" w:num="1"/>
          <w:titlePg/>
          <w:docGrid w:type="lines" w:linePitch="312" w:charSpace="0"/>
        </w:sectPr>
      </w:pPr>
    </w:p>
    <w:p>
      <w:pPr>
        <w:shd w:val="clear" w:color="auto" w:fill="FFFFFF"/>
        <w:spacing w:line="100" w:lineRule="exact"/>
        <w:jc w:val="left"/>
        <w:rPr>
          <w:rFonts w:ascii="仿宋_GB2312" w:hAnsi="仿宋" w:cs="宋体"/>
          <w:b/>
          <w:snapToGrid w:val="0"/>
          <w:kern w:val="0"/>
        </w:rPr>
      </w:pPr>
    </w:p>
    <w:p>
      <w:pPr>
        <w:shd w:val="clear" w:color="auto" w:fill="FFFFFF"/>
        <w:spacing w:line="100" w:lineRule="exact"/>
        <w:jc w:val="left"/>
        <w:rPr>
          <w:rFonts w:ascii="仿宋_GB2312" w:hAnsi="仿宋" w:cs="宋体"/>
          <w:b/>
          <w:snapToGrid w:val="0"/>
          <w:kern w:val="0"/>
        </w:rPr>
      </w:pPr>
    </w:p>
    <w:p>
      <w:pPr>
        <w:shd w:val="clear" w:color="auto" w:fill="FFFFFF"/>
        <w:spacing w:line="100" w:lineRule="exact"/>
        <w:jc w:val="left"/>
        <w:rPr>
          <w:rFonts w:ascii="仿宋_GB2312" w:hAnsi="仿宋" w:cs="宋体"/>
          <w:b/>
          <w:snapToGrid w:val="0"/>
          <w:kern w:val="0"/>
        </w:rPr>
      </w:pPr>
    </w:p>
    <w:tbl>
      <w:tblPr>
        <w:tblStyle w:val="6"/>
        <w:tblW w:w="8748" w:type="dxa"/>
        <w:jc w:val="center"/>
        <w:tblLayout w:type="fixed"/>
        <w:tblCellMar>
          <w:top w:w="0" w:type="dxa"/>
          <w:left w:w="108" w:type="dxa"/>
          <w:bottom w:w="0" w:type="dxa"/>
          <w:right w:w="108" w:type="dxa"/>
        </w:tblCellMar>
      </w:tblPr>
      <w:tblGrid>
        <w:gridCol w:w="8748"/>
      </w:tblGrid>
      <w:tr>
        <w:tblPrEx>
          <w:tblCellMar>
            <w:top w:w="0" w:type="dxa"/>
            <w:left w:w="108" w:type="dxa"/>
            <w:bottom w:w="0" w:type="dxa"/>
            <w:right w:w="108" w:type="dxa"/>
          </w:tblCellMar>
        </w:tblPrEx>
        <w:trPr>
          <w:trHeight w:val="486" w:hRule="atLeast"/>
          <w:jc w:val="center"/>
        </w:trPr>
        <w:tc>
          <w:tcPr>
            <w:tcW w:w="8748" w:type="dxa"/>
            <w:tcBorders>
              <w:top w:val="single" w:color="auto" w:sz="6" w:space="0"/>
              <w:left w:val="nil"/>
              <w:bottom w:val="single" w:color="auto" w:sz="6" w:space="0"/>
              <w:right w:val="nil"/>
            </w:tcBorders>
            <w:vAlign w:val="center"/>
          </w:tcPr>
          <w:p>
            <w:pPr>
              <w:shd w:val="clear" w:color="auto" w:fill="FFFFFF"/>
              <w:ind w:right="149" w:firstLine="36" w:firstLineChars="13"/>
              <w:jc w:val="center"/>
              <w:rPr>
                <w:rFonts w:ascii="仿宋" w:hAnsi="仿宋" w:eastAsia="仿宋" w:cs="宋体"/>
                <w:b/>
                <w:snapToGrid w:val="0"/>
                <w:kern w:val="0"/>
                <w:sz w:val="28"/>
                <w:szCs w:val="28"/>
              </w:rPr>
            </w:pPr>
            <w:r>
              <w:rPr>
                <w:rFonts w:hint="eastAsia" w:ascii="仿宋" w:hAnsi="仿宋" w:eastAsia="仿宋" w:cs="仿宋_GB2312"/>
                <w:b/>
                <w:snapToGrid w:val="0"/>
                <w:kern w:val="0"/>
                <w:sz w:val="28"/>
                <w:szCs w:val="28"/>
              </w:rPr>
              <w:t>山东省总工会办公室</w:t>
            </w:r>
            <w:r>
              <w:rPr>
                <w:rFonts w:ascii="仿宋" w:hAnsi="仿宋" w:eastAsia="仿宋" w:cs="仿宋_GB2312"/>
                <w:b/>
                <w:snapToGrid w:val="0"/>
                <w:kern w:val="0"/>
                <w:sz w:val="28"/>
                <w:szCs w:val="28"/>
              </w:rPr>
              <w:t xml:space="preserve">                     2019</w:t>
            </w:r>
            <w:r>
              <w:rPr>
                <w:rFonts w:hint="eastAsia" w:ascii="仿宋" w:hAnsi="仿宋" w:eastAsia="仿宋" w:cs="仿宋_GB2312"/>
                <w:b/>
                <w:snapToGrid w:val="0"/>
                <w:kern w:val="0"/>
                <w:sz w:val="28"/>
                <w:szCs w:val="28"/>
              </w:rPr>
              <w:t>年</w:t>
            </w:r>
            <w:r>
              <w:rPr>
                <w:rFonts w:ascii="仿宋" w:hAnsi="仿宋" w:eastAsia="仿宋" w:cs="仿宋_GB2312"/>
                <w:b/>
                <w:snapToGrid w:val="0"/>
                <w:kern w:val="0"/>
                <w:sz w:val="28"/>
                <w:szCs w:val="28"/>
              </w:rPr>
              <w:t>1</w:t>
            </w:r>
            <w:r>
              <w:rPr>
                <w:rFonts w:hint="eastAsia" w:ascii="仿宋" w:hAnsi="仿宋" w:eastAsia="仿宋" w:cs="仿宋_GB2312"/>
                <w:b/>
                <w:snapToGrid w:val="0"/>
                <w:kern w:val="0"/>
                <w:sz w:val="28"/>
                <w:szCs w:val="28"/>
              </w:rPr>
              <w:t>月</w:t>
            </w:r>
            <w:r>
              <w:rPr>
                <w:rFonts w:ascii="仿宋" w:hAnsi="仿宋" w:eastAsia="仿宋" w:cs="仿宋_GB2312"/>
                <w:b/>
                <w:snapToGrid w:val="0"/>
                <w:kern w:val="0"/>
                <w:sz w:val="28"/>
                <w:szCs w:val="28"/>
              </w:rPr>
              <w:t>4</w:t>
            </w:r>
            <w:r>
              <w:rPr>
                <w:rFonts w:hint="eastAsia" w:ascii="仿宋" w:hAnsi="仿宋" w:eastAsia="仿宋" w:cs="仿宋_GB2312"/>
                <w:b/>
                <w:snapToGrid w:val="0"/>
                <w:kern w:val="0"/>
                <w:sz w:val="28"/>
                <w:szCs w:val="28"/>
              </w:rPr>
              <w:t>日印发</w:t>
            </w:r>
          </w:p>
        </w:tc>
      </w:tr>
    </w:tbl>
    <w:p>
      <w:pPr>
        <w:spacing w:line="60" w:lineRule="exact"/>
        <w:ind w:right="680"/>
        <w:rPr>
          <w:b/>
          <w:snapToGrid w:val="0"/>
          <w:kern w:val="0"/>
        </w:rPr>
      </w:pPr>
    </w:p>
    <w:sectPr>
      <w:pgSz w:w="11907" w:h="16840"/>
      <w:pgMar w:top="2098" w:right="1474" w:bottom="1871" w:left="1588" w:header="851" w:footer="1418" w:gutter="0"/>
      <w:cols w:space="720" w:num="1"/>
      <w:titlePg/>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rPr>
        <w:rStyle w:val="8"/>
        <w:rFonts w:ascii="宋体"/>
        <w:sz w:val="28"/>
        <w:szCs w:val="28"/>
      </w:rPr>
    </w:pPr>
    <w:r>
      <w:rPr>
        <w:rStyle w:val="8"/>
        <w:rFonts w:ascii="宋体" w:hAnsi="宋体"/>
        <w:sz w:val="28"/>
        <w:szCs w:val="28"/>
      </w:rPr>
      <w:t xml:space="preserve">— </w:t>
    </w:r>
    <w:r>
      <w:rPr>
        <w:rStyle w:val="8"/>
        <w:rFonts w:ascii="宋体" w:hAnsi="宋体"/>
        <w:sz w:val="28"/>
        <w:szCs w:val="28"/>
      </w:rPr>
      <w:fldChar w:fldCharType="begin"/>
    </w:r>
    <w:r>
      <w:rPr>
        <w:rStyle w:val="8"/>
        <w:rFonts w:ascii="宋体" w:hAnsi="宋体"/>
        <w:sz w:val="28"/>
        <w:szCs w:val="28"/>
      </w:rPr>
      <w:instrText xml:space="preserve">PAGE  </w:instrText>
    </w:r>
    <w:r>
      <w:rPr>
        <w:rStyle w:val="8"/>
        <w:rFonts w:ascii="宋体" w:hAnsi="宋体"/>
        <w:sz w:val="28"/>
        <w:szCs w:val="28"/>
      </w:rPr>
      <w:fldChar w:fldCharType="separate"/>
    </w:r>
    <w:r>
      <w:rPr>
        <w:rStyle w:val="8"/>
        <w:rFonts w:ascii="宋体" w:hAnsi="宋体"/>
        <w:sz w:val="28"/>
        <w:szCs w:val="28"/>
      </w:rPr>
      <w:t>6</w:t>
    </w:r>
    <w:r>
      <w:rPr>
        <w:rStyle w:val="8"/>
        <w:rFonts w:ascii="宋体" w:hAnsi="宋体"/>
        <w:sz w:val="28"/>
        <w:szCs w:val="28"/>
      </w:rPr>
      <w:fldChar w:fldCharType="end"/>
    </w:r>
    <w:r>
      <w:rPr>
        <w:rStyle w:val="8"/>
        <w:rFonts w:ascii="宋体" w:hAnsi="宋体"/>
        <w:sz w:val="28"/>
        <w:szCs w:val="28"/>
      </w:rPr>
      <w:t xml:space="preserve"> —</w:t>
    </w:r>
  </w:p>
  <w:p>
    <w:pPr>
      <w:pStyle w:val="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rPr>
        <w:rStyle w:val="8"/>
      </w:rPr>
    </w:pPr>
    <w:r>
      <w:rPr>
        <w:rStyle w:val="8"/>
      </w:rPr>
      <w:fldChar w:fldCharType="begin"/>
    </w:r>
    <w:r>
      <w:rPr>
        <w:rStyle w:val="8"/>
      </w:rPr>
      <w:instrText xml:space="preserve">PAGE  </w:instrText>
    </w:r>
    <w:r>
      <w:rPr>
        <w:rStyle w:val="8"/>
      </w:rPr>
      <w:fldChar w:fldCharType="end"/>
    </w:r>
  </w:p>
  <w:p>
    <w:pPr>
      <w:pStyle w:val="4"/>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A0714"/>
    <w:rsid w:val="00014E56"/>
    <w:rsid w:val="000B48A0"/>
    <w:rsid w:val="000C0153"/>
    <w:rsid w:val="001450A3"/>
    <w:rsid w:val="001A04BB"/>
    <w:rsid w:val="001E41AE"/>
    <w:rsid w:val="00247389"/>
    <w:rsid w:val="002C3435"/>
    <w:rsid w:val="002C6F15"/>
    <w:rsid w:val="00371FFA"/>
    <w:rsid w:val="004D18E2"/>
    <w:rsid w:val="004D3822"/>
    <w:rsid w:val="004D6858"/>
    <w:rsid w:val="00501553"/>
    <w:rsid w:val="00516450"/>
    <w:rsid w:val="00520FE7"/>
    <w:rsid w:val="005F085A"/>
    <w:rsid w:val="006F4D3A"/>
    <w:rsid w:val="00721BE6"/>
    <w:rsid w:val="00776DE6"/>
    <w:rsid w:val="007773CA"/>
    <w:rsid w:val="007E32F4"/>
    <w:rsid w:val="007E4299"/>
    <w:rsid w:val="00861A1D"/>
    <w:rsid w:val="00877D1D"/>
    <w:rsid w:val="008A5050"/>
    <w:rsid w:val="008A72EF"/>
    <w:rsid w:val="009E74DC"/>
    <w:rsid w:val="00A53C94"/>
    <w:rsid w:val="00A6091A"/>
    <w:rsid w:val="00A629F2"/>
    <w:rsid w:val="00A6626E"/>
    <w:rsid w:val="00AD3B8F"/>
    <w:rsid w:val="00B92618"/>
    <w:rsid w:val="00BA159C"/>
    <w:rsid w:val="00BA7A37"/>
    <w:rsid w:val="00BD5FDE"/>
    <w:rsid w:val="00C66652"/>
    <w:rsid w:val="00C76C89"/>
    <w:rsid w:val="00CD394A"/>
    <w:rsid w:val="00D378A4"/>
    <w:rsid w:val="00D6531F"/>
    <w:rsid w:val="00D75739"/>
    <w:rsid w:val="00D77C33"/>
    <w:rsid w:val="00DD2B47"/>
    <w:rsid w:val="00E010AD"/>
    <w:rsid w:val="00EA05E9"/>
    <w:rsid w:val="00FA0714"/>
    <w:rsid w:val="2DD3288A"/>
    <w:rsid w:val="38034E2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link w:val="12"/>
    <w:qFormat/>
    <w:uiPriority w:val="99"/>
    <w:pPr>
      <w:spacing w:after="120"/>
      <w:ind w:left="420" w:leftChars="200"/>
    </w:pPr>
    <w:rPr>
      <w:rFonts w:ascii="Times New Roman" w:hAnsi="Times New Roman"/>
      <w:szCs w:val="24"/>
    </w:rPr>
  </w:style>
  <w:style w:type="paragraph" w:styleId="3">
    <w:name w:val="Balloon Text"/>
    <w:basedOn w:val="1"/>
    <w:link w:val="9"/>
    <w:semiHidden/>
    <w:uiPriority w:val="99"/>
    <w:rPr>
      <w:sz w:val="18"/>
      <w:szCs w:val="18"/>
    </w:rPr>
  </w:style>
  <w:style w:type="paragraph" w:styleId="4">
    <w:name w:val="footer"/>
    <w:basedOn w:val="1"/>
    <w:link w:val="10"/>
    <w:uiPriority w:val="99"/>
    <w:pPr>
      <w:tabs>
        <w:tab w:val="center" w:pos="4153"/>
        <w:tab w:val="right" w:pos="8306"/>
      </w:tabs>
      <w:snapToGrid w:val="0"/>
      <w:jc w:val="left"/>
    </w:pPr>
    <w:rPr>
      <w:sz w:val="18"/>
      <w:szCs w:val="18"/>
    </w:rPr>
  </w:style>
  <w:style w:type="paragraph" w:styleId="5">
    <w:name w:val="header"/>
    <w:basedOn w:val="1"/>
    <w:link w:val="11"/>
    <w:uiPriority w:val="99"/>
    <w:pPr>
      <w:pBdr>
        <w:bottom w:val="single" w:color="auto" w:sz="6" w:space="1"/>
      </w:pBdr>
      <w:tabs>
        <w:tab w:val="center" w:pos="4153"/>
        <w:tab w:val="right" w:pos="8306"/>
      </w:tabs>
      <w:snapToGrid w:val="0"/>
      <w:jc w:val="center"/>
    </w:pPr>
    <w:rPr>
      <w:sz w:val="18"/>
      <w:szCs w:val="18"/>
    </w:rPr>
  </w:style>
  <w:style w:type="character" w:styleId="8">
    <w:name w:val="page number"/>
    <w:basedOn w:val="7"/>
    <w:qFormat/>
    <w:uiPriority w:val="99"/>
    <w:rPr>
      <w:rFonts w:cs="Times New Roman"/>
    </w:rPr>
  </w:style>
  <w:style w:type="character" w:customStyle="1" w:styleId="9">
    <w:name w:val="批注框文本 Char"/>
    <w:basedOn w:val="7"/>
    <w:link w:val="3"/>
    <w:semiHidden/>
    <w:locked/>
    <w:uiPriority w:val="99"/>
    <w:rPr>
      <w:rFonts w:cs="Times New Roman"/>
      <w:sz w:val="18"/>
      <w:szCs w:val="18"/>
    </w:rPr>
  </w:style>
  <w:style w:type="character" w:customStyle="1" w:styleId="10">
    <w:name w:val="页脚 Char"/>
    <w:basedOn w:val="7"/>
    <w:link w:val="4"/>
    <w:locked/>
    <w:uiPriority w:val="99"/>
    <w:rPr>
      <w:rFonts w:cs="Times New Roman"/>
      <w:sz w:val="18"/>
      <w:szCs w:val="18"/>
    </w:rPr>
  </w:style>
  <w:style w:type="character" w:customStyle="1" w:styleId="11">
    <w:name w:val="页眉 Char"/>
    <w:basedOn w:val="7"/>
    <w:link w:val="5"/>
    <w:semiHidden/>
    <w:qFormat/>
    <w:locked/>
    <w:uiPriority w:val="99"/>
    <w:rPr>
      <w:rFonts w:cs="Times New Roman"/>
      <w:sz w:val="18"/>
      <w:szCs w:val="18"/>
    </w:rPr>
  </w:style>
  <w:style w:type="character" w:customStyle="1" w:styleId="12">
    <w:name w:val="正文文本缩进 Char"/>
    <w:basedOn w:val="7"/>
    <w:link w:val="2"/>
    <w:semiHidden/>
    <w:qFormat/>
    <w:locked/>
    <w:uiPriority w:val="99"/>
    <w:rPr>
      <w:rFonts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MyCompany</Company>
  <Pages>9</Pages>
  <Words>1906</Words>
  <Characters>355</Characters>
  <Lines>2</Lines>
  <Paragraphs>4</Paragraphs>
  <TotalTime>51</TotalTime>
  <ScaleCrop>false</ScaleCrop>
  <LinksUpToDate>false</LinksUpToDate>
  <CharactersWithSpaces>2257</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2019-01-04T07:48:00Z</dcterms:created>
  <dc:creator>Administrator</dc:creator>
  <cp:lastModifiedBy>jhngvb</cp:lastModifiedBy>
  <cp:lastPrinted>2019-11-01T08:17:37Z</cp:lastPrinted>
  <dcterms:modified xsi:type="dcterms:W3CDTF">2019-11-01T08:17:44Z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