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Nimbus Roman" w:hAnsi="Nimbus Roman" w:cs="Nimbus Roman"/>
          <w:sz w:val="36"/>
          <w:szCs w:val="36"/>
        </w:rPr>
      </w:pPr>
      <w:r>
        <w:rPr>
          <w:rFonts w:hint="default" w:ascii="Nimbus Roman" w:hAnsi="Nimbus Roman" w:cs="Nimbus Roman"/>
          <w:sz w:val="36"/>
          <w:szCs w:val="36"/>
        </w:rPr>
        <w:pict>
          <v:shape id="_x0000_s1029" o:spid="_x0000_s1029" o:spt="136" type="#_x0000_t136" style="position:absolute;left:0pt;margin-left:-2.95pt;margin-top:-0.55pt;height:37.2pt;width:453.75pt;z-index:251662336;mso-width-relative:page;mso-height-relative:page;" fillcolor="#FF0000" filled="t" stroked="f" coordsize="21600,21600" adj="10800">
            <v:path/>
            <v:fill on="t" color2="#FFFFFF" focussize="0,0"/>
            <v:stroke on="f"/>
            <v:imagedata o:title=""/>
            <o:lock v:ext="edit" aspectratio="f"/>
            <v:textpath on="t" fitshape="t" fitpath="t" trim="t" xscale="f" string="    威    海    市    总    工    会  " style="font-family:方正小标宋简体;font-size:24pt;v-rotate-letters:f;v-same-letter-heights:f;v-text-align:center;"/>
          </v:shape>
        </w:pict>
      </w:r>
    </w:p>
    <w:p>
      <w:pPr>
        <w:rPr>
          <w:rFonts w:hint="default" w:ascii="Nimbus Roman" w:hAnsi="Nimbus Roman" w:cs="Nimbus Roman" w:eastAsiaTheme="minorEastAsia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tabs>
          <w:tab w:val="left" w:pos="534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default" w:ascii="Nimbus Roman" w:hAnsi="Nimbus Roman" w:eastAsia="方正小标宋简体" w:cs="Nimbus Roman"/>
          <w:sz w:val="44"/>
          <w:szCs w:val="44"/>
        </w:rPr>
      </w:pPr>
      <w:r>
        <w:rPr>
          <w:rFonts w:hint="default" w:ascii="Nimbus Roman" w:hAnsi="Nimbus Roman" w:cs="Nimbus Roman"/>
          <w:sz w:val="21"/>
        </w:rPr>
        <w:pict>
          <v:line id="直接连接符 5" o:spid="_x0000_s1031" o:spt="20" style="position:absolute;left:0pt;margin-left:1.8pt;margin-top:6.4pt;height:0pt;width:447.75pt;z-index:251664384;mso-width-relative:page;mso-height-relative:page;" filled="f" stroked="t" coordsize="21600,21600" o:gfxdata="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BYXfbd&#10;0wAAAAcBAAAPAAAAAAAAAAEAIAAAADgAAABkcnMvZG93bnJldi54bWxQSwECFAAUAAAACACHTuJA&#10;7PGYfNcBAABuAwAADgAAAAAAAAABACAAAAA4AQAAZHJzL2Uyb0RvYy54bWxQSwUGAAAAAAYABgBZ&#10;AQAAgQUAAAAA&#10;">
            <v:path arrowok="t"/>
            <v:fill on="f" focussize="0,0"/>
            <v:stroke color="#FF0000" miterlimit="8" joinstyle="miter"/>
            <v:imagedata o:title=""/>
            <o:lock v:ext="edit" aspectratio="f"/>
          </v:line>
        </w:pict>
      </w:r>
      <w:r>
        <w:rPr>
          <w:rFonts w:hint="default" w:ascii="Nimbus Roman" w:hAnsi="Nimbus Roman" w:cs="Nimbus Roman"/>
          <w:sz w:val="21"/>
        </w:rPr>
        <w:pict>
          <v:line id="直接连接符 4" o:spid="_x0000_s1030" o:spt="20" style="position:absolute;left:0pt;margin-left:1.05pt;margin-top:2.65pt;height:0pt;width:448.5pt;z-index:251663360;mso-width-relative:page;mso-height-relative:page;" filled="f" stroked="t" coordsize="21600,21600" o:gfxdata="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BYAAABkcnMvUEsBAhQAFAAAAAgAh07i&#10;QAFcgWHUAAAABQEAAA8AAAAAAAAAAQAgAAAAOAAAAGRycy9kb3ducmV2LnhtbFBLAQIUABQAAAAI&#10;AIdO4kADqDxK2wEAAG8DAAAOAAAAAAAAAAEAIAAAADkBAABkcnMvZTJvRG9jLnhtbFBLBQYAAAAA&#10;BgAGAFkBAACGBQAAAAA=&#10;">
            <v:path arrowok="t"/>
            <v:fill on="f" focussize="0,0"/>
            <v:stroke weight="2.25pt" color="#FF0000" miterlimit="8" joinstyle="miter"/>
            <v:imagedata o:title=""/>
            <o:lock v:ext="edit" aspectratio="f"/>
          </v:line>
        </w:pict>
      </w:r>
      <w:r>
        <w:rPr>
          <w:rFonts w:hint="default" w:ascii="Nimbus Roman" w:hAnsi="Nimbus Roman" w:cs="Nimbus Roman"/>
          <w:lang w:val="en-US" w:eastAsia="zh-CN"/>
        </w:rPr>
        <w:tab/>
      </w:r>
    </w:p>
    <w:p>
      <w:pPr>
        <w:spacing w:line="560" w:lineRule="exact"/>
        <w:jc w:val="center"/>
        <w:rPr>
          <w:rFonts w:hint="eastAsia" w:ascii="方正小标宋简体" w:hAnsi="黑体" w:eastAsia="方正小标宋简体" w:cs="Times New Roman"/>
          <w:sz w:val="44"/>
          <w:szCs w:val="44"/>
        </w:rPr>
      </w:pPr>
      <w:r>
        <w:rPr>
          <w:rFonts w:hint="eastAsia" w:ascii="方正小标宋简体" w:hAnsi="黑体" w:eastAsia="方正小标宋简体" w:cs="Times New Roman"/>
          <w:sz w:val="44"/>
          <w:szCs w:val="44"/>
        </w:rPr>
        <w:t>关于举办</w:t>
      </w:r>
      <w:r>
        <w:rPr>
          <w:rFonts w:hint="eastAsia" w:ascii="方正小标宋简体" w:hAnsi="黑体" w:eastAsia="方正小标宋简体" w:cs="Times New Roman"/>
          <w:sz w:val="44"/>
          <w:szCs w:val="44"/>
          <w:lang w:val="en-US" w:eastAsia="zh-CN"/>
        </w:rPr>
        <w:t>2023年</w:t>
      </w:r>
      <w:r>
        <w:rPr>
          <w:rFonts w:hint="eastAsia" w:ascii="方正小标宋简体" w:hAnsi="黑体" w:eastAsia="方正小标宋简体" w:cs="Times New Roman"/>
          <w:sz w:val="44"/>
          <w:szCs w:val="44"/>
        </w:rPr>
        <w:t>威海市</w:t>
      </w:r>
    </w:p>
    <w:p>
      <w:pPr>
        <w:spacing w:line="560" w:lineRule="exact"/>
        <w:jc w:val="center"/>
        <w:rPr>
          <w:rFonts w:ascii="方正小标宋简体" w:hAnsi="Times New Roman" w:eastAsia="方正小标宋简体" w:cs="Times New Roman"/>
          <w:sz w:val="44"/>
          <w:szCs w:val="44"/>
        </w:rPr>
      </w:pPr>
      <w:r>
        <w:rPr>
          <w:rFonts w:hint="eastAsia" w:ascii="方正小标宋简体" w:hAnsi="黑体" w:eastAsia="方正小标宋简体" w:cs="Times New Roman"/>
          <w:sz w:val="44"/>
          <w:szCs w:val="44"/>
        </w:rPr>
        <w:t>测量职业技能</w:t>
      </w:r>
      <w:r>
        <w:rPr>
          <w:rFonts w:hint="eastAsia" w:ascii="方正小标宋简体" w:hAnsi="黑体" w:eastAsia="方正小标宋简体" w:cs="Times New Roman"/>
          <w:sz w:val="44"/>
          <w:szCs w:val="44"/>
          <w:lang w:val="en" w:eastAsia="zh-CN"/>
        </w:rPr>
        <w:t>竞</w:t>
      </w:r>
      <w:r>
        <w:rPr>
          <w:rFonts w:hint="eastAsia" w:ascii="方正小标宋简体" w:hAnsi="黑体" w:eastAsia="方正小标宋简体" w:cs="Times New Roman"/>
          <w:sz w:val="44"/>
          <w:szCs w:val="44"/>
        </w:rPr>
        <w:t>赛的通知</w:t>
      </w:r>
    </w:p>
    <w:p>
      <w:pPr>
        <w:spacing w:line="560" w:lineRule="exact"/>
        <w:jc w:val="center"/>
        <w:rPr>
          <w:rFonts w:ascii="Times New Roman" w:hAnsi="Times New Roman" w:eastAsia="黑体" w:cs="Times New Roman"/>
          <w:sz w:val="36"/>
          <w:szCs w:val="36"/>
        </w:rPr>
      </w:pPr>
    </w:p>
    <w:p>
      <w:pPr>
        <w:snapToGrid w:val="0"/>
        <w:spacing w:line="560" w:lineRule="exact"/>
        <w:jc w:val="left"/>
        <w:rPr>
          <w:rFonts w:hint="default" w:ascii="Times New Roman" w:hAnsi="仿宋_GB2312" w:eastAsia="仿宋_GB2312" w:cs="Times New Roman"/>
          <w:sz w:val="32"/>
          <w:szCs w:val="32"/>
        </w:rPr>
      </w:pPr>
      <w:r>
        <w:rPr>
          <w:rFonts w:hint="default" w:ascii="Times New Roman" w:hAnsi="仿宋_GB2312" w:eastAsia="仿宋_GB2312" w:cs="Times New Roman"/>
          <w:sz w:val="32"/>
          <w:szCs w:val="32"/>
        </w:rPr>
        <w:t>各区市总工会，国家级开发区总工会，综保区总工会，南海新区总工会，市产业工会，市直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有关</w:t>
      </w:r>
      <w:r>
        <w:rPr>
          <w:rFonts w:hint="default" w:ascii="Times New Roman" w:hAnsi="仿宋_GB2312" w:eastAsia="仿宋_GB2312" w:cs="Times New Roman"/>
          <w:sz w:val="32"/>
          <w:szCs w:val="32"/>
        </w:rPr>
        <w:t>单位工会：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仿宋_GB2312" w:eastAsia="仿宋_GB2312" w:cs="Times New Roman"/>
          <w:sz w:val="32"/>
          <w:szCs w:val="32"/>
          <w:lang w:val="en-US" w:eastAsia="zh-CN"/>
        </w:rPr>
        <w:t>为</w:t>
      </w:r>
      <w:r>
        <w:rPr>
          <w:rFonts w:ascii="Times New Roman" w:hAnsi="仿宋_GB2312" w:eastAsia="仿宋_GB2312" w:cs="Times New Roman"/>
          <w:sz w:val="32"/>
          <w:szCs w:val="32"/>
        </w:rPr>
        <w:t>大力弘扬劳模精神、劳动精神、工匠精神，</w:t>
      </w:r>
      <w:r>
        <w:rPr>
          <w:rFonts w:ascii="Times New Roman" w:hAnsi="仿宋_GB2312" w:eastAsia="仿宋_GB2312" w:cs="Times New Roman"/>
          <w:sz w:val="32"/>
          <w:szCs w:val="32"/>
          <w:lang w:val="en-US" w:eastAsia="zh-CN"/>
        </w:rPr>
        <w:t>进一步加强</w:t>
      </w:r>
      <w:r>
        <w:rPr>
          <w:rFonts w:ascii="Times New Roman" w:hAnsi="仿宋_GB2312" w:eastAsia="仿宋_GB2312" w:cs="Times New Roman"/>
          <w:sz w:val="32"/>
          <w:szCs w:val="32"/>
        </w:rPr>
        <w:t>建筑施工行业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测量人员</w:t>
      </w:r>
      <w:r>
        <w:rPr>
          <w:rFonts w:ascii="Times New Roman" w:hAnsi="仿宋_GB2312" w:eastAsia="仿宋_GB2312" w:cs="Times New Roman"/>
          <w:sz w:val="32"/>
          <w:szCs w:val="32"/>
          <w:lang w:val="en-US" w:eastAsia="zh-CN"/>
        </w:rPr>
        <w:t>职业能力建设，</w:t>
      </w:r>
      <w:r>
        <w:rPr>
          <w:rFonts w:hint="eastAsia" w:ascii="Times New Roman" w:hAnsi="仿宋_GB2312" w:eastAsia="仿宋_GB2312" w:cs="Times New Roman"/>
          <w:sz w:val="32"/>
          <w:szCs w:val="32"/>
          <w:lang w:val="en-US" w:eastAsia="zh-CN"/>
        </w:rPr>
        <w:t>市总工会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决定</w:t>
      </w:r>
      <w:r>
        <w:rPr>
          <w:rFonts w:ascii="Times New Roman" w:hAnsi="仿宋_GB2312" w:eastAsia="仿宋_GB2312" w:cs="Times New Roman"/>
          <w:sz w:val="32"/>
          <w:szCs w:val="32"/>
        </w:rPr>
        <w:t>举办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全市</w:t>
      </w:r>
      <w:r>
        <w:rPr>
          <w:rFonts w:ascii="Times New Roman" w:hAnsi="仿宋_GB2312" w:eastAsia="仿宋_GB2312" w:cs="Times New Roman"/>
          <w:sz w:val="32"/>
          <w:szCs w:val="32"/>
        </w:rPr>
        <w:t>测量职业技能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竞赛</w:t>
      </w:r>
      <w:r>
        <w:rPr>
          <w:rFonts w:ascii="Times New Roman" w:hAnsi="仿宋_GB2312" w:eastAsia="仿宋_GB2312" w:cs="Times New Roman"/>
          <w:sz w:val="32"/>
          <w:szCs w:val="32"/>
        </w:rPr>
        <w:t>。现将有关事项通知如下：</w:t>
      </w:r>
    </w:p>
    <w:p>
      <w:pPr>
        <w:snapToGrid w:val="0"/>
        <w:spacing w:line="560" w:lineRule="exact"/>
        <w:ind w:firstLine="640" w:firstLineChars="200"/>
        <w:jc w:val="left"/>
        <w:rPr>
          <w:rFonts w:ascii="Times New Roman" w:hAnsi="Times New Roman" w:eastAsia="黑体" w:cs="Times New Roman"/>
          <w:bCs/>
          <w:color w:val="auto"/>
          <w:sz w:val="32"/>
          <w:szCs w:val="32"/>
          <w:shd w:val="clear" w:color="auto" w:fill="auto"/>
        </w:rPr>
      </w:pPr>
      <w:r>
        <w:rPr>
          <w:rFonts w:hint="eastAsia" w:ascii="Times New Roman" w:hAnsi="黑体" w:eastAsia="黑体" w:cs="Times New Roman"/>
          <w:bCs/>
          <w:color w:val="auto"/>
          <w:sz w:val="32"/>
          <w:szCs w:val="32"/>
          <w:shd w:val="clear" w:color="auto" w:fill="auto"/>
          <w:lang w:eastAsia="zh-CN"/>
        </w:rPr>
        <w:t>一</w:t>
      </w:r>
      <w:r>
        <w:rPr>
          <w:rFonts w:ascii="Times New Roman" w:hAnsi="黑体" w:eastAsia="黑体" w:cs="Times New Roman"/>
          <w:bCs/>
          <w:color w:val="auto"/>
          <w:sz w:val="32"/>
          <w:szCs w:val="32"/>
          <w:shd w:val="clear" w:color="auto" w:fill="auto"/>
        </w:rPr>
        <w:t>、</w:t>
      </w:r>
      <w:r>
        <w:rPr>
          <w:rFonts w:hint="eastAsia" w:ascii="Times New Roman" w:hAnsi="黑体" w:eastAsia="黑体" w:cs="Times New Roman"/>
          <w:bCs/>
          <w:color w:val="auto"/>
          <w:sz w:val="32"/>
          <w:szCs w:val="32"/>
          <w:shd w:val="clear" w:color="auto" w:fill="auto"/>
          <w:lang w:eastAsia="zh-CN"/>
        </w:rPr>
        <w:t>竞赛</w:t>
      </w:r>
      <w:r>
        <w:rPr>
          <w:rFonts w:ascii="Times New Roman" w:hAnsi="黑体" w:eastAsia="黑体" w:cs="Times New Roman"/>
          <w:bCs/>
          <w:color w:val="auto"/>
          <w:sz w:val="32"/>
          <w:szCs w:val="32"/>
          <w:shd w:val="clear" w:color="auto" w:fill="auto"/>
        </w:rPr>
        <w:t>时间地点</w:t>
      </w:r>
    </w:p>
    <w:p>
      <w:pPr>
        <w:snapToGrid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auto"/>
          <w:lang w:val="en"/>
        </w:rPr>
      </w:pPr>
      <w:r>
        <w:rPr>
          <w:rFonts w:hint="eastAsia" w:ascii="Times New Roman" w:hAnsi="仿宋_GB2312" w:eastAsia="仿宋_GB2312" w:cs="Times New Roman"/>
          <w:b w:val="0"/>
          <w:bCs w:val="0"/>
          <w:color w:val="auto"/>
          <w:sz w:val="32"/>
          <w:szCs w:val="32"/>
          <w:shd w:val="clear" w:color="auto" w:fill="auto"/>
          <w:lang w:eastAsia="zh-CN"/>
        </w:rPr>
        <w:t>拟定于</w:t>
      </w:r>
      <w:r>
        <w:rPr>
          <w:rFonts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auto"/>
        </w:rPr>
        <w:t>2023</w:t>
      </w:r>
      <w:r>
        <w:rPr>
          <w:rFonts w:ascii="Times New Roman" w:hAnsi="仿宋_GB2312" w:eastAsia="仿宋_GB2312" w:cs="Times New Roman"/>
          <w:b w:val="0"/>
          <w:bCs w:val="0"/>
          <w:color w:val="auto"/>
          <w:sz w:val="32"/>
          <w:szCs w:val="32"/>
          <w:shd w:val="clear" w:color="auto" w:fill="auto"/>
        </w:rPr>
        <w:t>年</w:t>
      </w:r>
      <w:r>
        <w:rPr>
          <w:rFonts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auto"/>
        </w:rPr>
        <w:t>8</w:t>
      </w:r>
      <w:r>
        <w:rPr>
          <w:rFonts w:ascii="Times New Roman" w:hAnsi="仿宋_GB2312" w:eastAsia="仿宋_GB2312" w:cs="Times New Roman"/>
          <w:b w:val="0"/>
          <w:bCs w:val="0"/>
          <w:color w:val="auto"/>
          <w:sz w:val="32"/>
          <w:szCs w:val="32"/>
          <w:shd w:val="clear" w:color="auto" w:fill="auto"/>
        </w:rPr>
        <w:t>月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auto"/>
          <w:lang w:eastAsia="zh-CN"/>
        </w:rPr>
        <w:t>底或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9月初举办，具体</w:t>
      </w:r>
      <w:r>
        <w:rPr>
          <w:rFonts w:ascii="Times New Roman" w:hAnsi="仿宋_GB2312" w:eastAsia="仿宋_GB2312" w:cs="Times New Roman"/>
          <w:b w:val="0"/>
          <w:bCs w:val="0"/>
          <w:color w:val="auto"/>
          <w:sz w:val="32"/>
          <w:szCs w:val="32"/>
          <w:shd w:val="clear" w:color="auto" w:fill="auto"/>
          <w:lang w:val="en"/>
        </w:rPr>
        <w:t>时间</w:t>
      </w:r>
      <w:r>
        <w:rPr>
          <w:rFonts w:hint="eastAsia" w:ascii="Times New Roman" w:hAnsi="仿宋_GB2312" w:eastAsia="仿宋_GB2312" w:cs="Times New Roman"/>
          <w:b w:val="0"/>
          <w:bCs w:val="0"/>
          <w:color w:val="auto"/>
          <w:sz w:val="32"/>
          <w:szCs w:val="32"/>
          <w:shd w:val="clear" w:color="auto" w:fill="auto"/>
          <w:lang w:val="en" w:eastAsia="zh-CN"/>
        </w:rPr>
        <w:t>和地点</w:t>
      </w:r>
      <w:r>
        <w:rPr>
          <w:rFonts w:ascii="Times New Roman" w:hAnsi="仿宋_GB2312" w:eastAsia="仿宋_GB2312" w:cs="Times New Roman"/>
          <w:b w:val="0"/>
          <w:bCs w:val="0"/>
          <w:color w:val="auto"/>
          <w:sz w:val="32"/>
          <w:szCs w:val="32"/>
          <w:shd w:val="clear" w:color="auto" w:fill="auto"/>
          <w:lang w:val="en"/>
        </w:rPr>
        <w:t>另行通知</w:t>
      </w:r>
      <w:r>
        <w:rPr>
          <w:rFonts w:hint="eastAsia" w:ascii="Times New Roman" w:hAnsi="仿宋_GB2312" w:eastAsia="仿宋_GB2312" w:cs="Times New Roman"/>
          <w:b w:val="0"/>
          <w:bCs w:val="0"/>
          <w:color w:val="auto"/>
          <w:sz w:val="32"/>
          <w:szCs w:val="32"/>
          <w:shd w:val="clear" w:color="auto" w:fill="auto"/>
          <w:lang w:val="en" w:eastAsia="zh-CN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黑体" w:eastAsia="黑体" w:cs="Times New Roman"/>
          <w:bCs/>
          <w:sz w:val="32"/>
          <w:szCs w:val="32"/>
          <w:lang w:eastAsia="zh-CN"/>
        </w:rPr>
        <w:t>二</w:t>
      </w:r>
      <w:r>
        <w:rPr>
          <w:rFonts w:ascii="Times New Roman" w:hAnsi="黑体" w:eastAsia="黑体" w:cs="Times New Roman"/>
          <w:bCs/>
          <w:sz w:val="32"/>
          <w:szCs w:val="32"/>
        </w:rPr>
        <w:t>、参赛对象和组队要求</w:t>
      </w:r>
    </w:p>
    <w:p>
      <w:pPr>
        <w:snapToGrid w:val="0"/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仿宋_GB2312" w:eastAsia="仿宋_GB2312" w:cs="Times New Roman"/>
          <w:sz w:val="32"/>
          <w:szCs w:val="32"/>
        </w:rPr>
        <w:t>参赛对象：威海市建筑施工行业从事测量职业（工种）或相关专业工作的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企业职工。</w:t>
      </w:r>
      <w:r>
        <w:rPr>
          <w:rFonts w:ascii="Times New Roman" w:hAnsi="仿宋_GB2312" w:eastAsia="仿宋_GB2312" w:cs="Times New Roman"/>
          <w:sz w:val="32"/>
          <w:szCs w:val="32"/>
        </w:rPr>
        <w:t>已获得山东省技术能手称号的人员，不得以选手身份参赛。</w:t>
      </w:r>
    </w:p>
    <w:p>
      <w:pPr>
        <w:snapToGrid w:val="0"/>
        <w:spacing w:line="560" w:lineRule="exact"/>
        <w:ind w:firstLine="640" w:firstLineChars="200"/>
        <w:jc w:val="left"/>
        <w:rPr>
          <w:rFonts w:ascii="Times New Roman" w:hAnsi="仿宋_GB2312" w:eastAsia="仿宋_GB2312" w:cs="Times New Roman"/>
          <w:sz w:val="32"/>
          <w:szCs w:val="32"/>
        </w:rPr>
      </w:pP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组队要求：每家企业可</w:t>
      </w:r>
      <w:r>
        <w:rPr>
          <w:rFonts w:hint="eastAsia" w:ascii="Times New Roman" w:hAnsi="仿宋_GB2312" w:eastAsia="仿宋_GB2312" w:cs="Times New Roman"/>
          <w:sz w:val="32"/>
          <w:szCs w:val="32"/>
        </w:rPr>
        <w:t>组织一支代表队参加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比赛</w:t>
      </w:r>
      <w:r>
        <w:rPr>
          <w:rFonts w:hint="eastAsia" w:ascii="Times New Roman" w:hAnsi="仿宋_GB2312" w:eastAsia="仿宋_GB2312" w:cs="Times New Roman"/>
          <w:sz w:val="32"/>
          <w:szCs w:val="32"/>
        </w:rPr>
        <w:t>。</w:t>
      </w:r>
      <w:r>
        <w:rPr>
          <w:rFonts w:ascii="Times New Roman" w:hAnsi="仿宋_GB2312" w:eastAsia="仿宋_GB2312" w:cs="Times New Roman"/>
          <w:sz w:val="32"/>
          <w:szCs w:val="32"/>
        </w:rPr>
        <w:t>参赛队不得跨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单位</w:t>
      </w:r>
      <w:r>
        <w:rPr>
          <w:rFonts w:ascii="Times New Roman" w:hAnsi="仿宋_GB2312" w:eastAsia="仿宋_GB2312" w:cs="Times New Roman"/>
          <w:sz w:val="32"/>
          <w:szCs w:val="32"/>
        </w:rPr>
        <w:t>组队，每个代表队由</w:t>
      </w:r>
      <w:r>
        <w:rPr>
          <w:rFonts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仿宋_GB2312" w:eastAsia="仿宋_GB2312" w:cs="Times New Roman"/>
          <w:sz w:val="32"/>
          <w:szCs w:val="32"/>
        </w:rPr>
        <w:t>名选手、</w:t>
      </w: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ascii="Times New Roman" w:hAnsi="仿宋_GB2312" w:eastAsia="仿宋_GB2312" w:cs="Times New Roman"/>
          <w:sz w:val="32"/>
          <w:szCs w:val="32"/>
        </w:rPr>
        <w:t>名领队组成。</w:t>
      </w:r>
    </w:p>
    <w:p>
      <w:pPr>
        <w:snapToGrid w:val="0"/>
        <w:spacing w:line="560" w:lineRule="exact"/>
        <w:ind w:firstLine="640" w:firstLineChars="200"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黑体" w:eastAsia="黑体" w:cs="Times New Roman"/>
          <w:bCs/>
          <w:sz w:val="32"/>
          <w:szCs w:val="32"/>
          <w:lang w:eastAsia="zh-CN"/>
        </w:rPr>
        <w:t>三</w:t>
      </w:r>
      <w:r>
        <w:rPr>
          <w:rFonts w:ascii="Times New Roman" w:hAnsi="黑体" w:eastAsia="黑体" w:cs="Times New Roman"/>
          <w:bCs/>
          <w:sz w:val="32"/>
          <w:szCs w:val="32"/>
        </w:rPr>
        <w:t>、</w:t>
      </w:r>
      <w:r>
        <w:rPr>
          <w:rFonts w:hint="eastAsia" w:ascii="Times New Roman" w:hAnsi="黑体" w:eastAsia="黑体" w:cs="Times New Roman"/>
          <w:bCs/>
          <w:color w:val="auto"/>
          <w:sz w:val="32"/>
          <w:szCs w:val="32"/>
          <w:shd w:val="clear" w:color="auto" w:fill="auto"/>
          <w:lang w:eastAsia="zh-CN"/>
        </w:rPr>
        <w:t>竞赛</w:t>
      </w:r>
      <w:r>
        <w:rPr>
          <w:rFonts w:hint="eastAsia" w:ascii="Times New Roman" w:hAnsi="黑体" w:eastAsia="黑体" w:cs="Times New Roman"/>
          <w:bCs/>
          <w:sz w:val="32"/>
          <w:szCs w:val="32"/>
          <w:lang w:eastAsia="zh-CN"/>
        </w:rPr>
        <w:t>内容</w:t>
      </w:r>
    </w:p>
    <w:p>
      <w:pPr>
        <w:spacing w:line="560" w:lineRule="exact"/>
        <w:ind w:firstLine="640" w:firstLineChars="200"/>
        <w:rPr>
          <w:rFonts w:hint="eastAsia" w:ascii="Times New Roman" w:hAnsi="仿宋_GB2312" w:eastAsia="仿宋_GB2312" w:cs="Times New Roman"/>
          <w:sz w:val="32"/>
          <w:szCs w:val="32"/>
        </w:rPr>
      </w:pP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竞赛</w:t>
      </w:r>
      <w:r>
        <w:rPr>
          <w:rFonts w:hint="eastAsia" w:ascii="Times New Roman" w:hAnsi="仿宋_GB2312" w:eastAsia="仿宋_GB2312" w:cs="Times New Roman"/>
          <w:sz w:val="32"/>
          <w:szCs w:val="32"/>
        </w:rPr>
        <w:t>由理论考试和实际操作两部分组成，理论知识考核占30%，技能操作考核占70%，两部分相加为个人总成绩。竞赛名次按个人总成绩高低排定，总成绩相同者，按照实际操作技能成绩高者名次列前，实际操作技能成绩也相同时，按照比赛完成时间短者名次列前。</w:t>
      </w:r>
    </w:p>
    <w:p>
      <w:pPr>
        <w:pStyle w:val="12"/>
        <w:spacing w:line="560" w:lineRule="exact"/>
        <w:ind w:left="0" w:leftChars="0"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ascii="Times New Roman" w:hAnsi="仿宋_GB2312" w:eastAsia="仿宋_GB2312" w:cs="Times New Roman"/>
          <w:bCs/>
          <w:sz w:val="32"/>
          <w:szCs w:val="32"/>
        </w:rPr>
        <w:t>理论考试</w:t>
      </w:r>
      <w:r>
        <w:rPr>
          <w:rFonts w:ascii="Times New Roman" w:hAnsi="仿宋_GB2312" w:eastAsia="仿宋_GB2312" w:cs="Times New Roman"/>
          <w:sz w:val="32"/>
          <w:szCs w:val="32"/>
        </w:rPr>
        <w:t>通过现场笔试形式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进行，技能操作包含</w:t>
      </w:r>
      <w:r>
        <w:rPr>
          <w:rFonts w:ascii="Times New Roman" w:hAnsi="仿宋_GB2312" w:eastAsia="仿宋_GB2312" w:cs="Times New Roman"/>
          <w:sz w:val="32"/>
          <w:szCs w:val="32"/>
        </w:rPr>
        <w:t>水准测量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、</w:t>
      </w:r>
      <w:r>
        <w:rPr>
          <w:rFonts w:ascii="Times New Roman" w:hAnsi="仿宋_GB2312" w:eastAsia="仿宋_GB2312" w:cs="Times New Roman"/>
          <w:sz w:val="32"/>
          <w:szCs w:val="32"/>
        </w:rPr>
        <w:t>平</w:t>
      </w:r>
      <w:r>
        <w:rPr>
          <w:rFonts w:ascii="Times New Roman" w:hAnsi="仿宋_GB2312" w:eastAsia="仿宋_GB2312" w:cs="Times New Roman"/>
          <w:color w:val="auto"/>
          <w:sz w:val="32"/>
          <w:szCs w:val="32"/>
        </w:rPr>
        <w:t>面控制测量</w:t>
      </w:r>
      <w:r>
        <w:rPr>
          <w:rFonts w:hint="eastAsia" w:ascii="Times New Roman" w:hAnsi="仿宋_GB2312" w:eastAsia="仿宋_GB2312" w:cs="Times New Roman"/>
          <w:color w:val="auto"/>
          <w:sz w:val="32"/>
          <w:szCs w:val="32"/>
          <w:lang w:eastAsia="zh-CN"/>
        </w:rPr>
        <w:t>，基础分值均为</w:t>
      </w:r>
      <w:r>
        <w:rPr>
          <w:rFonts w:hint="eastAsia" w:ascii="Times New Roman" w:hAnsi="仿宋_GB2312" w:eastAsia="仿宋_GB2312" w:cs="Times New Roman"/>
          <w:color w:val="auto"/>
          <w:sz w:val="32"/>
          <w:szCs w:val="32"/>
          <w:lang w:val="en-US" w:eastAsia="zh-CN"/>
        </w:rPr>
        <w:t>100分。</w:t>
      </w:r>
    </w:p>
    <w:p>
      <w:pPr>
        <w:snapToGrid w:val="0"/>
        <w:spacing w:line="560" w:lineRule="exact"/>
        <w:ind w:firstLine="640" w:firstLineChars="200"/>
        <w:jc w:val="left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  <w:r>
        <w:rPr>
          <w:rFonts w:hint="eastAsia" w:ascii="Times New Roman" w:hAnsi="黑体" w:eastAsia="黑体" w:cs="Times New Roman"/>
          <w:bCs/>
          <w:color w:val="auto"/>
          <w:sz w:val="32"/>
          <w:szCs w:val="32"/>
          <w:lang w:eastAsia="zh-CN"/>
        </w:rPr>
        <w:t>四</w:t>
      </w:r>
      <w:r>
        <w:rPr>
          <w:rFonts w:ascii="Times New Roman" w:hAnsi="黑体" w:eastAsia="黑体" w:cs="Times New Roman"/>
          <w:bCs/>
          <w:color w:val="auto"/>
          <w:sz w:val="32"/>
          <w:szCs w:val="32"/>
        </w:rPr>
        <w:t>、</w:t>
      </w:r>
      <w:r>
        <w:rPr>
          <w:rFonts w:hint="eastAsia" w:ascii="Times New Roman" w:hAnsi="黑体" w:eastAsia="黑体" w:cs="Times New Roman"/>
          <w:bCs/>
          <w:color w:val="auto"/>
          <w:sz w:val="32"/>
          <w:szCs w:val="32"/>
          <w:lang w:eastAsia="zh-CN"/>
        </w:rPr>
        <w:t>竞赛</w:t>
      </w:r>
      <w:r>
        <w:rPr>
          <w:rFonts w:ascii="Times New Roman" w:hAnsi="黑体" w:eastAsia="黑体" w:cs="Times New Roman"/>
          <w:bCs/>
          <w:color w:val="auto"/>
          <w:sz w:val="32"/>
          <w:szCs w:val="32"/>
        </w:rPr>
        <w:t>组织</w:t>
      </w:r>
    </w:p>
    <w:p>
      <w:pPr>
        <w:spacing w:line="560" w:lineRule="exact"/>
        <w:ind w:firstLine="640" w:firstLineChars="200"/>
        <w:rPr>
          <w:rFonts w:hint="eastAsia" w:ascii="Times New Roman" w:hAnsi="仿宋_GB2312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仿宋_GB2312" w:eastAsia="仿宋_GB2312" w:cs="Times New Roman"/>
          <w:color w:val="auto"/>
          <w:sz w:val="32"/>
          <w:szCs w:val="32"/>
          <w:lang w:eastAsia="zh-CN"/>
        </w:rPr>
        <w:t>此次竞赛由市总工会主办，</w:t>
      </w:r>
      <w:r>
        <w:rPr>
          <w:rFonts w:ascii="Times New Roman" w:hAnsi="仿宋_GB2312" w:eastAsia="仿宋_GB2312" w:cs="Times New Roman"/>
          <w:color w:val="auto"/>
          <w:sz w:val="32"/>
          <w:szCs w:val="32"/>
        </w:rPr>
        <w:t>经济技术开发区总工会</w:t>
      </w:r>
      <w:r>
        <w:rPr>
          <w:rFonts w:hint="eastAsia" w:ascii="Times New Roman" w:hAnsi="仿宋_GB2312" w:eastAsia="仿宋_GB2312" w:cs="Times New Roman"/>
          <w:color w:val="auto"/>
          <w:sz w:val="32"/>
          <w:szCs w:val="32"/>
          <w:lang w:val="en" w:eastAsia="zh-CN"/>
        </w:rPr>
        <w:t>、</w:t>
      </w:r>
      <w:r>
        <w:rPr>
          <w:rFonts w:ascii="Times New Roman" w:hAnsi="仿宋_GB2312" w:eastAsia="仿宋_GB2312" w:cs="Times New Roman"/>
          <w:color w:val="auto"/>
          <w:sz w:val="32"/>
          <w:szCs w:val="32"/>
        </w:rPr>
        <w:t>中建筑港集团有限公司</w:t>
      </w:r>
      <w:r>
        <w:rPr>
          <w:rFonts w:hint="eastAsia" w:ascii="Times New Roman" w:hAnsi="仿宋_GB2312" w:eastAsia="仿宋_GB2312" w:cs="Times New Roman"/>
          <w:color w:val="auto"/>
          <w:sz w:val="32"/>
          <w:szCs w:val="32"/>
          <w:lang w:eastAsia="zh-CN"/>
        </w:rPr>
        <w:t>承办。为做好竞赛的各项组织工作，成立竞赛组委会，统筹竞赛组织工作，组委会下设办公室，具体负责竞赛的组织实施。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仿宋_GB2312" w:eastAsia="仿宋_GB2312" w:cs="Times New Roman"/>
          <w:sz w:val="32"/>
          <w:szCs w:val="32"/>
        </w:rPr>
        <w:t>组委会办公室联系人：夏怀城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，联系电话：</w:t>
      </w:r>
      <w:r>
        <w:rPr>
          <w:rFonts w:ascii="Times New Roman" w:hAnsi="Times New Roman" w:eastAsia="仿宋_GB2312" w:cs="Times New Roman"/>
          <w:sz w:val="32"/>
          <w:szCs w:val="32"/>
        </w:rPr>
        <w:t>15638216481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黑体" w:cs="Times New Roman"/>
          <w:bCs/>
          <w:sz w:val="32"/>
          <w:szCs w:val="32"/>
          <w:lang w:eastAsia="zh-CN"/>
        </w:rPr>
      </w:pPr>
      <w:r>
        <w:rPr>
          <w:rFonts w:hint="eastAsia" w:ascii="Times New Roman" w:hAnsi="黑体" w:eastAsia="黑体" w:cs="Times New Roman"/>
          <w:bCs/>
          <w:sz w:val="32"/>
          <w:szCs w:val="32"/>
          <w:lang w:eastAsia="zh-CN"/>
        </w:rPr>
        <w:t>五</w:t>
      </w:r>
      <w:r>
        <w:rPr>
          <w:rFonts w:ascii="Times New Roman" w:hAnsi="黑体" w:eastAsia="黑体" w:cs="Times New Roman"/>
          <w:bCs/>
          <w:sz w:val="32"/>
          <w:szCs w:val="32"/>
        </w:rPr>
        <w:t>、报名</w:t>
      </w:r>
      <w:r>
        <w:rPr>
          <w:rFonts w:hint="eastAsia" w:ascii="Times New Roman" w:hAnsi="黑体" w:eastAsia="黑体" w:cs="Times New Roman"/>
          <w:bCs/>
          <w:sz w:val="32"/>
          <w:szCs w:val="32"/>
          <w:lang w:eastAsia="zh-CN"/>
        </w:rPr>
        <w:t>方式</w:t>
      </w:r>
    </w:p>
    <w:p>
      <w:pPr>
        <w:snapToGrid w:val="0"/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仿宋_GB2312" w:eastAsia="仿宋_GB2312" w:cs="Times New Roman"/>
          <w:sz w:val="32"/>
          <w:szCs w:val="32"/>
        </w:rPr>
        <w:t>请各单位</w:t>
      </w:r>
      <w:r>
        <w:rPr>
          <w:rFonts w:ascii="Times New Roman" w:hAnsi="仿宋_GB2312" w:eastAsia="仿宋_GB2312" w:cs="Times New Roman"/>
          <w:color w:val="auto"/>
          <w:sz w:val="32"/>
          <w:szCs w:val="32"/>
        </w:rPr>
        <w:t>于</w:t>
      </w:r>
      <w:r>
        <w:rPr>
          <w:rFonts w:ascii="Times New Roman" w:hAnsi="Times New Roman" w:eastAsia="仿宋_GB2312" w:cs="Times New Roman"/>
          <w:b w:val="0"/>
          <w:bCs w:val="0"/>
          <w:color w:val="auto"/>
          <w:sz w:val="32"/>
          <w:szCs w:val="32"/>
        </w:rPr>
        <w:t>2023</w:t>
      </w:r>
      <w:r>
        <w:rPr>
          <w:rFonts w:ascii="Times New Roman" w:hAnsi="仿宋_GB2312" w:eastAsia="仿宋_GB2312" w:cs="Times New Roman"/>
          <w:b w:val="0"/>
          <w:bCs w:val="0"/>
          <w:color w:val="auto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8</w:t>
      </w:r>
      <w:r>
        <w:rPr>
          <w:rFonts w:ascii="Times New Roman" w:hAnsi="仿宋_GB2312" w:eastAsia="仿宋_GB2312" w:cs="Times New Roman"/>
          <w:b w:val="0"/>
          <w:bCs w:val="0"/>
          <w:color w:val="auto"/>
          <w:sz w:val="32"/>
          <w:szCs w:val="32"/>
          <w:highlight w:val="none"/>
        </w:rPr>
        <w:t>月</w:t>
      </w:r>
      <w:r>
        <w:rPr>
          <w:rFonts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20</w:t>
      </w:r>
      <w:r>
        <w:rPr>
          <w:rFonts w:ascii="Times New Roman" w:hAnsi="仿宋_GB2312" w:eastAsia="仿宋_GB2312" w:cs="Times New Roman"/>
          <w:b w:val="0"/>
          <w:bCs w:val="0"/>
          <w:color w:val="auto"/>
          <w:sz w:val="32"/>
          <w:szCs w:val="32"/>
          <w:highlight w:val="none"/>
        </w:rPr>
        <w:t>日</w:t>
      </w:r>
      <w:r>
        <w:rPr>
          <w:rFonts w:ascii="Times New Roman" w:hAnsi="仿宋_GB2312" w:eastAsia="仿宋_GB2312" w:cs="Times New Roman"/>
          <w:color w:val="auto"/>
          <w:sz w:val="32"/>
          <w:szCs w:val="32"/>
        </w:rPr>
        <w:t>前，将《</w:t>
      </w:r>
      <w:r>
        <w:rPr>
          <w:rFonts w:ascii="Times New Roman" w:hAnsi="仿宋_GB2312" w:eastAsia="仿宋_GB2312" w:cs="Times New Roman"/>
          <w:sz w:val="32"/>
          <w:szCs w:val="32"/>
        </w:rPr>
        <w:t>威海市测量职业技能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竞赛</w:t>
      </w:r>
      <w:r>
        <w:rPr>
          <w:rFonts w:ascii="Times New Roman" w:hAnsi="仿宋_GB2312" w:eastAsia="仿宋_GB2312" w:cs="Times New Roman"/>
          <w:sz w:val="32"/>
          <w:szCs w:val="32"/>
        </w:rPr>
        <w:t>报名表》（附件</w:t>
      </w:r>
      <w:r>
        <w:rPr>
          <w:rFonts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仿宋_GB2312" w:eastAsia="仿宋_GB2312" w:cs="Times New Roman"/>
          <w:sz w:val="32"/>
          <w:szCs w:val="32"/>
        </w:rPr>
        <w:t>），通过电子邮箱（</w:t>
      </w:r>
      <w:r>
        <w:rPr>
          <w:rFonts w:ascii="Times New Roman" w:hAnsi="Times New Roman" w:eastAsia="仿宋_GB2312" w:cs="Times New Roman"/>
          <w:sz w:val="32"/>
          <w:szCs w:val="32"/>
        </w:rPr>
        <w:t>1796537881@qq.com</w:t>
      </w:r>
      <w:r>
        <w:rPr>
          <w:rFonts w:ascii="Times New Roman" w:hAnsi="仿宋_GB2312" w:eastAsia="仿宋_GB2312" w:cs="Times New Roman"/>
          <w:sz w:val="32"/>
          <w:szCs w:val="32"/>
        </w:rPr>
        <w:t>），报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竞赛</w:t>
      </w:r>
      <w:r>
        <w:rPr>
          <w:rFonts w:ascii="Times New Roman" w:hAnsi="仿宋_GB2312" w:eastAsia="仿宋_GB2312" w:cs="Times New Roman"/>
          <w:sz w:val="32"/>
          <w:szCs w:val="32"/>
        </w:rPr>
        <w:t>组委会办公室。</w:t>
      </w:r>
    </w:p>
    <w:p>
      <w:pPr>
        <w:spacing w:line="560" w:lineRule="exact"/>
        <w:ind w:firstLine="640" w:firstLineChars="200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六、奖项设置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（一）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竞赛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设个人奖6名，颁发获奖证书。获得比赛第1名的选手，由市总工会授予“威海市金牌职工”称号。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（二）比赛设团体奖3个，授予团体总分前三名的代表队所在单位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按团体成绩进行排序，设“团体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总分第一名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”、“团体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总分第二名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”和“团体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总分第三名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”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各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个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各参赛单位对本次职业技能竞赛成绩优异的选手，可结合本单位的情况，另行拟定奖励办法。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黑体" w:eastAsia="黑体" w:cs="Times New Roman"/>
          <w:bCs/>
          <w:sz w:val="32"/>
          <w:szCs w:val="32"/>
        </w:rPr>
        <w:t>七、其他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（一）</w:t>
      </w:r>
      <w:r>
        <w:rPr>
          <w:rFonts w:ascii="Times New Roman" w:hAnsi="仿宋_GB2312" w:eastAsia="仿宋_GB2312" w:cs="Times New Roman"/>
          <w:sz w:val="32"/>
          <w:szCs w:val="32"/>
        </w:rPr>
        <w:t>比赛方案及评分细则详见附件</w:t>
      </w: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spacing w:line="560" w:lineRule="exact"/>
        <w:rPr>
          <w:rFonts w:ascii="Times New Roman" w:hAnsi="Times New Roman" w:eastAsia="仿宋_GB2312" w:cs="Times New Roman"/>
          <w:b w:val="0"/>
          <w:bCs w:val="0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（二）</w:t>
      </w:r>
      <w:r>
        <w:rPr>
          <w:rFonts w:ascii="Times New Roman" w:hAnsi="仿宋_GB2312" w:eastAsia="仿宋_GB2312" w:cs="Times New Roman"/>
          <w:color w:val="auto"/>
          <w:sz w:val="32"/>
          <w:szCs w:val="32"/>
        </w:rPr>
        <w:t>本次竞赛不收取任何费用</w:t>
      </w:r>
      <w:r>
        <w:rPr>
          <w:rFonts w:hint="eastAsia" w:ascii="Times New Roman" w:hAnsi="仿宋_GB2312" w:eastAsia="仿宋_GB2312" w:cs="Times New Roman"/>
          <w:b w:val="0"/>
          <w:bCs w:val="0"/>
          <w:color w:val="auto"/>
          <w:sz w:val="32"/>
          <w:szCs w:val="32"/>
          <w:lang w:eastAsia="zh-CN"/>
        </w:rPr>
        <w:t>，提供免费工作午餐。</w:t>
      </w:r>
    </w:p>
    <w:p>
      <w:pPr>
        <w:snapToGrid w:val="0"/>
        <w:spacing w:line="560" w:lineRule="exact"/>
        <w:ind w:firstLine="960" w:firstLineChars="300"/>
        <w:jc w:val="lef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60" w:lineRule="exact"/>
        <w:ind w:firstLine="960" w:firstLineChars="300"/>
        <w:jc w:val="left"/>
        <w:rPr>
          <w:rFonts w:ascii="Times New Roman" w:hAnsi="Times New Roman" w:eastAsia="仿宋" w:cs="Times New Roman"/>
          <w:sz w:val="32"/>
          <w:szCs w:val="32"/>
        </w:rPr>
      </w:pPr>
    </w:p>
    <w:p>
      <w:pPr>
        <w:spacing w:line="560" w:lineRule="exact"/>
        <w:ind w:firstLine="960" w:firstLineChars="3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仿宋_GB2312" w:eastAsia="仿宋_GB2312" w:cs="Times New Roman"/>
          <w:sz w:val="32"/>
          <w:szCs w:val="32"/>
        </w:rPr>
        <w:t>附件：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</w:t>
      </w:r>
      <w:r>
        <w:rPr>
          <w:rFonts w:ascii="Times New Roman" w:hAnsi="仿宋_GB2312" w:eastAsia="仿宋_GB2312" w:cs="Times New Roman"/>
          <w:sz w:val="32"/>
          <w:szCs w:val="32"/>
        </w:rPr>
        <w:t>比赛方案及评分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细则</w:t>
      </w:r>
    </w:p>
    <w:p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           2.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比赛</w:t>
      </w:r>
      <w:r>
        <w:rPr>
          <w:rFonts w:ascii="Times New Roman" w:hAnsi="仿宋_GB2312" w:eastAsia="仿宋_GB2312" w:cs="Times New Roman"/>
          <w:sz w:val="32"/>
          <w:szCs w:val="32"/>
        </w:rPr>
        <w:t>成绩统计表</w:t>
      </w:r>
    </w:p>
    <w:p>
      <w:pPr>
        <w:spacing w:line="560" w:lineRule="exact"/>
        <w:ind w:left="2235" w:leftChars="912" w:hanging="320" w:hangingChars="1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.</w:t>
      </w:r>
      <w:r>
        <w:rPr>
          <w:rFonts w:ascii="Times New Roman" w:hAnsi="仿宋_GB2312" w:eastAsia="仿宋_GB2312" w:cs="Times New Roman"/>
          <w:sz w:val="32"/>
          <w:szCs w:val="32"/>
        </w:rPr>
        <w:t>威海市测量职业技能</w:t>
      </w:r>
      <w:r>
        <w:rPr>
          <w:rFonts w:hint="eastAsia" w:ascii="Times New Roman" w:hAnsi="仿宋_GB2312" w:eastAsia="仿宋_GB2312" w:cs="Times New Roman"/>
          <w:sz w:val="32"/>
          <w:szCs w:val="32"/>
          <w:lang w:eastAsia="zh-CN"/>
        </w:rPr>
        <w:t>竞赛</w:t>
      </w:r>
      <w:r>
        <w:rPr>
          <w:rFonts w:ascii="Times New Roman" w:hAnsi="仿宋_GB2312" w:eastAsia="仿宋_GB2312" w:cs="Times New Roman"/>
          <w:sz w:val="32"/>
          <w:szCs w:val="32"/>
        </w:rPr>
        <w:t>报名表</w:t>
      </w:r>
    </w:p>
    <w:p>
      <w:pPr>
        <w:snapToGrid w:val="0"/>
        <w:spacing w:line="560" w:lineRule="exact"/>
        <w:ind w:firstLine="1920" w:firstLineChars="600"/>
        <w:jc w:val="left"/>
        <w:rPr>
          <w:rFonts w:ascii="Times New Roman" w:hAnsi="Times New Roman" w:eastAsia="仿宋" w:cs="Times New Roman"/>
          <w:sz w:val="32"/>
          <w:szCs w:val="32"/>
        </w:rPr>
      </w:pPr>
    </w:p>
    <w:p>
      <w:pPr>
        <w:snapToGrid w:val="0"/>
        <w:spacing w:line="560" w:lineRule="exact"/>
        <w:ind w:firstLine="1920" w:firstLineChars="600"/>
        <w:jc w:val="left"/>
        <w:rPr>
          <w:rFonts w:ascii="Times New Roman" w:hAnsi="Times New Roman" w:eastAsia="仿宋" w:cs="Times New Roman"/>
          <w:sz w:val="32"/>
          <w:szCs w:val="32"/>
        </w:rPr>
      </w:pPr>
    </w:p>
    <w:p>
      <w:pPr>
        <w:snapToGrid w:val="0"/>
        <w:spacing w:line="560" w:lineRule="exact"/>
        <w:ind w:firstLine="1920" w:firstLineChars="600"/>
        <w:jc w:val="left"/>
        <w:rPr>
          <w:rFonts w:ascii="Times New Roman" w:hAnsi="Times New Roman" w:eastAsia="仿宋" w:cs="Times New Roman"/>
          <w:sz w:val="32"/>
          <w:szCs w:val="32"/>
        </w:rPr>
      </w:pPr>
    </w:p>
    <w:p>
      <w:pPr>
        <w:spacing w:line="560" w:lineRule="exact"/>
        <w:ind w:firstLine="5600" w:firstLineChars="175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仿宋_GB2312" w:eastAsia="仿宋_GB2312" w:cs="Times New Roman"/>
          <w:sz w:val="32"/>
          <w:szCs w:val="32"/>
        </w:rPr>
        <w:t>威海市总工会</w:t>
      </w:r>
    </w:p>
    <w:p>
      <w:pPr>
        <w:spacing w:line="560" w:lineRule="exact"/>
        <w:ind w:firstLine="5440" w:firstLineChars="17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2023</w:t>
      </w:r>
      <w:r>
        <w:rPr>
          <w:rFonts w:ascii="Times New Roman" w:hAnsi="仿宋_GB2312" w:eastAsia="仿宋_GB2312" w:cs="Times New Roman"/>
          <w:sz w:val="32"/>
          <w:szCs w:val="32"/>
        </w:rPr>
        <w:t>年</w:t>
      </w:r>
      <w:r>
        <w:rPr>
          <w:rFonts w:ascii="Times New Roman" w:hAnsi="Times New Roman" w:eastAsia="仿宋_GB2312" w:cs="Times New Roman"/>
          <w:sz w:val="32"/>
          <w:szCs w:val="32"/>
        </w:rPr>
        <w:t>8</w:t>
      </w:r>
      <w:r>
        <w:rPr>
          <w:rFonts w:ascii="Times New Roman" w:hAnsi="仿宋_GB2312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14</w:t>
      </w:r>
      <w:r>
        <w:rPr>
          <w:rFonts w:ascii="Times New Roman" w:hAnsi="仿宋_GB2312" w:eastAsia="仿宋_GB2312" w:cs="Times New Roman"/>
          <w:sz w:val="32"/>
          <w:szCs w:val="32"/>
        </w:rPr>
        <w:t>日</w:t>
      </w:r>
    </w:p>
    <w:p>
      <w:pPr>
        <w:snapToGrid w:val="0"/>
        <w:spacing w:line="540" w:lineRule="exact"/>
        <w:ind w:firstLine="1920" w:firstLineChars="600"/>
        <w:jc w:val="right"/>
        <w:rPr>
          <w:rFonts w:ascii="Times New Roman" w:hAnsi="Times New Roman" w:eastAsia="仿宋" w:cs="Times New Roman"/>
          <w:sz w:val="32"/>
          <w:szCs w:val="32"/>
        </w:rPr>
      </w:pPr>
    </w:p>
    <w:p>
      <w:pPr>
        <w:snapToGrid w:val="0"/>
        <w:spacing w:line="540" w:lineRule="exact"/>
        <w:ind w:firstLine="1920" w:firstLineChars="600"/>
        <w:jc w:val="righ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40" w:lineRule="exact"/>
        <w:ind w:firstLine="1920" w:firstLineChars="600"/>
        <w:jc w:val="righ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40" w:lineRule="exact"/>
        <w:ind w:firstLine="1920" w:firstLineChars="600"/>
        <w:jc w:val="righ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40" w:lineRule="exact"/>
        <w:ind w:firstLine="1920" w:firstLineChars="600"/>
        <w:jc w:val="righ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40" w:lineRule="exact"/>
        <w:ind w:firstLine="1920" w:firstLineChars="600"/>
        <w:jc w:val="righ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40" w:lineRule="exact"/>
        <w:ind w:firstLine="1920" w:firstLineChars="600"/>
        <w:jc w:val="righ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40" w:lineRule="exact"/>
        <w:ind w:firstLine="1920" w:firstLineChars="600"/>
        <w:jc w:val="righ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40" w:lineRule="exact"/>
        <w:ind w:firstLine="1920" w:firstLineChars="600"/>
        <w:jc w:val="right"/>
        <w:rPr>
          <w:rFonts w:ascii="仿宋" w:hAnsi="仿宋" w:eastAsia="仿宋" w:cs="仿宋"/>
          <w:sz w:val="32"/>
          <w:szCs w:val="32"/>
        </w:rPr>
      </w:pPr>
    </w:p>
    <w:p>
      <w:pPr>
        <w:spacing w:line="360" w:lineRule="auto"/>
        <w:rPr>
          <w:rFonts w:hint="eastAsia" w:ascii="方正黑体简体" w:hAnsi="方正黑体简体" w:eastAsia="方正黑体简体" w:cs="方正黑体简体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</w:rPr>
        <w:t>附件1</w:t>
      </w:r>
    </w:p>
    <w:p>
      <w:pPr>
        <w:pStyle w:val="6"/>
        <w:shd w:val="clear" w:color="auto" w:fill="FFFFFF"/>
        <w:spacing w:beforeAutospacing="0" w:afterAutospacing="0" w:line="5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比赛方案及评分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细则</w:t>
      </w:r>
    </w:p>
    <w:p>
      <w:pPr>
        <w:pStyle w:val="6"/>
        <w:shd w:val="clear" w:color="auto" w:fill="FFFFFF"/>
        <w:spacing w:beforeAutospacing="0" w:afterAutospacing="0" w:line="540" w:lineRule="exact"/>
        <w:ind w:firstLine="642" w:firstLineChars="200"/>
        <w:jc w:val="both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pStyle w:val="6"/>
        <w:shd w:val="clear" w:color="auto" w:fill="FFFFFF"/>
        <w:spacing w:beforeAutospacing="0" w:afterAutospacing="0" w:line="540" w:lineRule="exact"/>
        <w:ind w:firstLine="640" w:firstLineChars="200"/>
        <w:jc w:val="both"/>
        <w:rPr>
          <w:rFonts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一、参赛范围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报名参赛队伍。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二、大赛内容</w:t>
      </w:r>
    </w:p>
    <w:p>
      <w:pPr>
        <w:pStyle w:val="13"/>
        <w:spacing w:line="52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（一）理论考试</w:t>
      </w:r>
    </w:p>
    <w:p>
      <w:pPr>
        <w:pStyle w:val="13"/>
        <w:spacing w:line="520" w:lineRule="exact"/>
        <w:ind w:firstLine="643"/>
        <w:rPr>
          <w:rFonts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1.考试内容：</w:t>
      </w:r>
    </w:p>
    <w:p>
      <w:pPr>
        <w:pStyle w:val="6"/>
        <w:shd w:val="clear" w:color="auto" w:fill="FFFFFF"/>
        <w:spacing w:beforeAutospacing="0" w:afterAutospacing="0" w:line="500" w:lineRule="exact"/>
        <w:ind w:firstLine="640" w:firstLineChars="200"/>
        <w:jc w:val="both"/>
        <w:rPr>
          <w:rFonts w:ascii="仿宋_GB2312" w:hAnsi="仿宋_GB2312" w:eastAsia="仿宋_GB2312" w:cs="仿宋_GB2312"/>
          <w:b w:val="0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</w:rPr>
        <w:t>本次笔试考试内容选取《工程测量标准》(GB 50026-2020)中的理论基础知识和日常生产所需相关专业测量技术知识，由组织部门编制工程测量综合考试题。</w:t>
      </w:r>
    </w:p>
    <w:p>
      <w:pPr>
        <w:pStyle w:val="13"/>
        <w:spacing w:line="520" w:lineRule="exact"/>
        <w:ind w:firstLine="643"/>
        <w:rPr>
          <w:rFonts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2.试卷组成：</w:t>
      </w:r>
    </w:p>
    <w:p>
      <w:pPr>
        <w:pStyle w:val="6"/>
        <w:shd w:val="clear" w:color="auto" w:fill="FFFFFF"/>
        <w:spacing w:beforeAutospacing="0" w:afterAutospacing="0" w:line="500" w:lineRule="exact"/>
        <w:ind w:firstLine="640" w:firstLineChars="200"/>
        <w:jc w:val="both"/>
        <w:rPr>
          <w:rFonts w:ascii="仿宋_GB2312" w:hAnsi="仿宋_GB2312" w:eastAsia="仿宋_GB2312" w:cs="仿宋_GB2312"/>
          <w:b w:val="0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</w:rPr>
        <w:t>单选题15道，3分/道；</w:t>
      </w:r>
    </w:p>
    <w:p>
      <w:pPr>
        <w:pStyle w:val="6"/>
        <w:shd w:val="clear" w:color="auto" w:fill="FFFFFF"/>
        <w:spacing w:beforeAutospacing="0" w:afterAutospacing="0" w:line="500" w:lineRule="exact"/>
        <w:ind w:firstLine="640" w:firstLineChars="200"/>
        <w:jc w:val="both"/>
        <w:rPr>
          <w:rFonts w:ascii="仿宋_GB2312" w:hAnsi="仿宋_GB2312" w:eastAsia="仿宋_GB2312" w:cs="仿宋_GB2312"/>
          <w:b w:val="0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</w:rPr>
        <w:t>多选题5道，4分/道；</w:t>
      </w:r>
    </w:p>
    <w:p>
      <w:pPr>
        <w:pStyle w:val="6"/>
        <w:shd w:val="clear" w:color="auto" w:fill="FFFFFF"/>
        <w:spacing w:beforeAutospacing="0" w:afterAutospacing="0" w:line="500" w:lineRule="exact"/>
        <w:ind w:firstLine="640" w:firstLineChars="200"/>
        <w:jc w:val="both"/>
        <w:rPr>
          <w:rFonts w:ascii="仿宋_GB2312" w:hAnsi="仿宋_GB2312" w:eastAsia="仿宋_GB2312" w:cs="仿宋_GB2312"/>
          <w:b w:val="0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</w:rPr>
        <w:t>判断题10道，2分/道；</w:t>
      </w:r>
    </w:p>
    <w:p>
      <w:pPr>
        <w:pStyle w:val="6"/>
        <w:shd w:val="clear" w:color="auto" w:fill="FFFFFF"/>
        <w:spacing w:beforeAutospacing="0" w:afterAutospacing="0" w:line="500" w:lineRule="exact"/>
        <w:ind w:firstLine="640" w:firstLineChars="200"/>
        <w:jc w:val="both"/>
        <w:rPr>
          <w:rFonts w:ascii="仿宋_GB2312" w:hAnsi="仿宋_GB2312" w:eastAsia="仿宋_GB2312" w:cs="仿宋_GB2312"/>
          <w:b w:val="0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</w:rPr>
        <w:t>计算题1道，15分/道。</w:t>
      </w:r>
    </w:p>
    <w:p>
      <w:pPr>
        <w:pStyle w:val="13"/>
        <w:spacing w:line="520" w:lineRule="exact"/>
        <w:ind w:firstLine="643"/>
        <w:rPr>
          <w:rFonts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3.考试组织实施：</w:t>
      </w:r>
    </w:p>
    <w:p>
      <w:pPr>
        <w:pStyle w:val="6"/>
        <w:shd w:val="clear" w:color="auto" w:fill="FFFFFF"/>
        <w:spacing w:beforeAutospacing="0" w:afterAutospacing="0" w:line="500" w:lineRule="exact"/>
        <w:ind w:firstLine="640" w:firstLineChars="200"/>
        <w:jc w:val="both"/>
        <w:rPr>
          <w:rFonts w:ascii="仿宋_GB2312" w:hAnsi="仿宋_GB2312" w:eastAsia="仿宋_GB2312" w:cs="仿宋_GB2312"/>
          <w:b w:val="0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</w:rPr>
        <w:t>（1）考试时长45分钟，闭卷考试；</w:t>
      </w:r>
    </w:p>
    <w:p>
      <w:pPr>
        <w:pStyle w:val="6"/>
        <w:shd w:val="clear" w:color="auto" w:fill="FFFFFF"/>
        <w:spacing w:beforeAutospacing="0" w:afterAutospacing="0" w:line="500" w:lineRule="exact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</w:rPr>
        <w:t>（2）考试日期为技能比武当天，地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点为技能比武参赛现场；</w:t>
      </w:r>
    </w:p>
    <w:p>
      <w:pPr>
        <w:pStyle w:val="6"/>
        <w:shd w:val="clear" w:color="auto" w:fill="FFFFFF"/>
        <w:spacing w:beforeAutospacing="0" w:afterAutospacing="0" w:line="500" w:lineRule="exact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（3）考试人员为参赛各团队所有人员，各团队笔试最终成绩为各团队所有成员笔试成绩的平均值。</w:t>
      </w:r>
    </w:p>
    <w:p>
      <w:pPr>
        <w:pStyle w:val="13"/>
        <w:spacing w:line="52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（二）实操比赛</w:t>
      </w:r>
    </w:p>
    <w:p>
      <w:pPr>
        <w:pStyle w:val="13"/>
        <w:spacing w:line="52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水准测量、平面控制测量。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三、命题方式及评分依据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（一）命题方式：结合施工行业生产实践，以施工现场专业测量人员所必备的知识和技能要求为基础，赛前由评审组封闭命题，制定标准答案；比赛现场发放比赛用数据和各种记录、计算表格。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评分依据：《工程测量标准》（GB50026-2020）为主要依据，从工程测量实际操作的方法、步骤、数据记录、数据处理、测量成果的精度等方面考核参赛选手的基本技能，以及工程施工过程中分析和解决工程测量实际问题的能力。各比武项目均从外业观测、测量过程、内业计算、测量精度和测量时间等方面进行评分。</w:t>
      </w:r>
    </w:p>
    <w:p>
      <w:pPr>
        <w:pStyle w:val="13"/>
        <w:spacing w:line="520" w:lineRule="exact"/>
        <w:ind w:firstLine="643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四、比赛仪器设备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（一）全站仪及配套工具：由组委会统一提供2套全站仪，全站仪标称精度为测角2″、测距2mm+2ppm；每套全站仪配套脚架2个、对点基座及反射棱镜各2个等。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（二）水准仪DSZ3水准仪2台、3米木尺1套、尺垫等。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（三）计算工具：选手自带科学计算器用于现场内业计算，不允许编程计算。</w:t>
      </w:r>
    </w:p>
    <w:p>
      <w:pPr>
        <w:spacing w:line="520" w:lineRule="exact"/>
        <w:ind w:firstLine="642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五、观测要求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（一）水准测量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赛小组在规定的时间内，独立完成指定由3-5点组成的闭合水准路线测量，其中一个点为已知高程点，另外2-4个点为待测高程点；按四等水准测量的要求进行外业观测，并现场按测站数进行误差分配、完成内业计算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（二）平面控制测量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赛小组在规定的时间内，独立完成指定由4点组成的四边形水平角测量；按一级导线测量的要求进行外业观测，每个角观测两个测回，测量前视水平距离，根据统一表格规范记录并完成水平角和指标差计算，计算角度闭合差和进行精度评定，不进行平差计算。</w:t>
      </w:r>
    </w:p>
    <w:p>
      <w:pPr>
        <w:spacing w:line="520" w:lineRule="exact"/>
        <w:ind w:firstLine="642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六、场地安排</w:t>
      </w:r>
    </w:p>
    <w:p>
      <w:pPr>
        <w:spacing w:line="520" w:lineRule="exact"/>
        <w:ind w:firstLine="642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根据比武内容分为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水准组和导线组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520" w:lineRule="exact"/>
        <w:ind w:firstLine="642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导线组</w:t>
      </w:r>
      <w:r>
        <w:rPr>
          <w:rFonts w:hint="eastAsia" w:ascii="仿宋_GB2312" w:hAnsi="仿宋_GB2312" w:eastAsia="仿宋_GB2312" w:cs="仿宋_GB2312"/>
          <w:sz w:val="32"/>
          <w:szCs w:val="32"/>
        </w:rPr>
        <w:t>分为导线A组、导线B组两组同时进行，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水准组</w:t>
      </w:r>
      <w:r>
        <w:rPr>
          <w:rFonts w:hint="eastAsia" w:ascii="仿宋_GB2312" w:hAnsi="仿宋_GB2312" w:eastAsia="仿宋_GB2312" w:cs="仿宋_GB2312"/>
          <w:sz w:val="32"/>
          <w:szCs w:val="32"/>
        </w:rPr>
        <w:t>为一组依次进行。</w:t>
      </w:r>
    </w:p>
    <w:p>
      <w:pPr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赛区布置详见下图：</w:t>
      </w:r>
    </w:p>
    <w:p>
      <w:pPr>
        <w:spacing w:line="520" w:lineRule="exact"/>
        <w:ind w:firstLine="642" w:firstLineChars="200"/>
        <w:jc w:val="center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控制点布置及施测路线平面示意图</w:t>
      </w:r>
    </w:p>
    <w:p>
      <w:pPr>
        <w:spacing w:line="520" w:lineRule="exact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pict>
          <v:rect id="矩形 1" o:spid="_x0000_s1026" o:spt="1" style="position:absolute;left:0pt;margin-left:17.25pt;margin-top:2.1pt;height:91.5pt;width:396pt;z-index:251659264;mso-width-relative:page;mso-height-relative:page;" coordsize="21600,21600" o:gfxdata="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/5O8gdoAAAAIAQAADwAAAAAAAAABACAAAAAiAAAAZHJzL2Rvd25y&#10;ZXYueG1sUEsBAhQAFAAAAAgAh07iQHkhgEz8AQAAIAQAAA4AAAAAAAAAAQAgAAAAKQEAAGRycy9l&#10;Mm9Eb2MueG1sUEsFBgAAAAAGAAYAWQEAAJcFAAAAAA==&#10;">
            <v:path/>
            <v:fill focussize="0,0"/>
            <v:stroke weight="1pt"/>
            <v:imagedata o:title=""/>
            <o:lock v:ext="edit"/>
          </v:rect>
        </w:pict>
      </w:r>
    </w:p>
    <w:p>
      <w:pPr>
        <w:spacing w:line="520" w:lineRule="exact"/>
        <w:jc w:val="left"/>
        <w:rPr>
          <w:rFonts w:ascii="仿宋" w:hAnsi="仿宋" w:eastAsia="仿宋" w:cs="仿宋"/>
          <w:sz w:val="32"/>
          <w:szCs w:val="32"/>
        </w:rPr>
      </w:pPr>
    </w:p>
    <w:p>
      <w:pPr>
        <w:spacing w:line="520" w:lineRule="exact"/>
        <w:jc w:val="left"/>
        <w:rPr>
          <w:rFonts w:ascii="仿宋" w:hAnsi="仿宋" w:eastAsia="仿宋" w:cs="仿宋"/>
          <w:sz w:val="32"/>
          <w:szCs w:val="32"/>
        </w:rPr>
      </w:pPr>
    </w:p>
    <w:p>
      <w:pPr>
        <w:spacing w:line="52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注：场地和控制点位布置图待确定后补充完善。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七、施测组织流程和计分要求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（一）确定参赛顺序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开始比赛前由各参赛组选出一名代表以抽签的方式确定比赛顺序。由于场地赛分为导线两组、水准一组，首先确定导线组参赛顺序。水准组由抽签正序第三组开始参赛。如一组选手导线和水准顺序冲突，请服从现场裁判组安排进行参赛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（二）计时标准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参赛选手根据确定的参赛顺序提前做好准备。前、后视和观测站人员在始发点集合，做好准备后由裁判员宣布开始命令，并开始计时。参赛选手完成全部观测任务后，前、后视和观测站人员全部回到始发点后，以主测手向裁判发出完成示意后结束外业计时。同时内业计算计时开始，参赛选手要在规定的时间内完成内业计算，最后以上交裁判员原始记录和计算成果的时间为结束时间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（三）各组施测流程（请参照控制点布置图）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1.导线组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导线组：导线A组、B组分别观测四个控制点的内角。两组起始路线分别从A1、B1点始发，测量内角和前视距离并作好记录。外业观测时间以45分钟为限，超出时间部分按每分钟0.5分扣分。完成外业观测后，请立即开始内业计算，时间以20分钟为限。超出部分按每分钟1分扣分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2.水准组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水准组施测路线从BM1点始发按顺时针方向前进经过Z1、Z2、Z3回到BM1完成闭合。外业观测时间以20分钟为限，超出时间部分按每分钟1分扣分。完成外业观测后，请立即开始内业计算，时间以20分钟为限。超出部分按每分钟1分扣分。</w:t>
      </w:r>
    </w:p>
    <w:p>
      <w:pPr>
        <w:spacing w:line="520" w:lineRule="exact"/>
        <w:ind w:firstLine="642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以上各单项比武精度和观测规范评定都有具体计分标准（详见附件：测量实操部分技术要求和计分标准）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八、内业计算要求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（一）导线内业计算要求计算出角度闭合差，不进行平差计算。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（二）水准要求计算出高程闭合差，容许闭合差，并进行平差计算。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九、经典测量实操部分技术要求和计分标准</w:t>
      </w:r>
    </w:p>
    <w:p>
      <w:pPr>
        <w:snapToGrid w:val="0"/>
        <w:spacing w:line="500" w:lineRule="exact"/>
        <w:ind w:firstLine="642" w:firstLineChars="200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（一）水准仪操作</w:t>
      </w:r>
    </w:p>
    <w:p>
      <w:pPr>
        <w:spacing w:line="520" w:lineRule="exact"/>
        <w:ind w:firstLine="642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1.任务描述：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DS3光学水准仪操作：完成指定水准测量任务；用变仪高法，要求测出并计算两点的高差及两个待定点的高程。包括外业观测、记录及计算全过程。采用现场实际操作方式考核，时间为 20 分钟，总分为100分。</w:t>
      </w:r>
    </w:p>
    <w:p>
      <w:pPr>
        <w:spacing w:line="520" w:lineRule="exact"/>
        <w:ind w:firstLine="642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2.技术要求：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观测等级：四等。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测站观测采用双面水准尺，观测顺序为：后-前-前-后。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最大视线长度：75米，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前后视距差：3米，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前后视距累计差：6米。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每千米高差中误差全中误差+6mm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pict>
          <v:shape id="AutoShape 32" o:spid="_x0000_s1028" o:spt="32" type="#_x0000_t32" style="position:absolute;left:0pt;margin-left:188.35pt;margin-top:9.9pt;height:0.05pt;width:8.25pt;z-index:251661312;mso-width-relative:page;mso-height-relative:page;" filled="f" coordsize="21600,21600" o:gfxdata="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2aeHZ1wAAAAkBAAAP&#10;AAAAAAAAAAEAIAAAACIAAABkcnMvZG93bnJldi54bWxQSwECFAAUAAAACACHTuJAK2EK3eABAADi&#10;AwAADgAAAAAAAAABACAAAAAmAQAAZHJzL2Uyb0RvYy54bWxQSwUGAAAAAAYABgBZAQAAeAUAAAAA&#10;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t>附和或环线闭合差：+12√L</w:t>
      </w:r>
    </w:p>
    <w:p>
      <w:pPr>
        <w:snapToGrid w:val="0"/>
        <w:spacing w:line="500" w:lineRule="exact"/>
        <w:ind w:firstLine="642" w:firstLineChars="200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（二）全站仪操作</w:t>
      </w:r>
    </w:p>
    <w:p>
      <w:pPr>
        <w:spacing w:line="520" w:lineRule="exact"/>
        <w:ind w:firstLine="642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1.任务描述：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用全站仪观测四边形的四个内角，每个内角均观测二个测回，并完成必要的记录和计算，求出四边形闭合差；进行精度评定后，进行角度平差。采用现场实际操作方式考核，时间为 45 分钟，总分为100分。</w:t>
      </w:r>
    </w:p>
    <w:p>
      <w:pPr>
        <w:spacing w:line="520" w:lineRule="exact"/>
        <w:ind w:firstLine="642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2.技术要求：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观测等级：一级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仪器2″级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测回数：2测回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测角中误差+5″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一测回内2C互差:18″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pict>
          <v:shape id="AutoShape 31" o:spid="_x0000_s1027" o:spt="32" type="#_x0000_t32" style="position:absolute;left:0pt;margin-left:139.6pt;margin-top:9.5pt;height:0.05pt;width:9pt;z-index:251660288;mso-width-relative:page;mso-height-relative:page;" filled="f" coordsize="21600,21600" o:gfxdata="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b4RAsdYAAAAJAQAADwAA&#10;AAAAAAABACAAAAAiAAAAZHJzL2Rvd25yZXYueG1sUEsBAhQAFAAAAAgAh07iQOCoK3vfAQAA4gMA&#10;AA4AAAAAAAAAAQAgAAAAJQEAAGRycy9lMm9Eb2MueG1sUEsFBgAAAAAGAAYAWQEAAHYFAAAAAA==&#10;">
            <v:path arrowok="t"/>
            <v:fill on="f" focussize="0,0"/>
            <v:stroke/>
            <v:imagedata o:title=""/>
            <o:lock v:ext="edit"/>
          </v:shape>
        </w:pict>
      </w:r>
      <w:r>
        <w:rPr>
          <w:rFonts w:hint="eastAsia" w:ascii="仿宋_GB2312" w:hAnsi="仿宋_GB2312" w:eastAsia="仿宋_GB2312" w:cs="仿宋_GB2312"/>
          <w:sz w:val="32"/>
          <w:szCs w:val="32"/>
        </w:rPr>
        <w:t>方位角闭合差+10√n″</w:t>
      </w:r>
    </w:p>
    <w:p>
      <w:pPr>
        <w:snapToGrid w:val="0"/>
        <w:spacing w:line="500" w:lineRule="exact"/>
        <w:ind w:firstLine="640" w:firstLineChars="200"/>
        <w:outlineLvl w:val="0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十、比赛成果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参赛选手在比赛结束时须递交以下文件：</w:t>
      </w:r>
    </w:p>
    <w:tbl>
      <w:tblPr>
        <w:tblStyle w:val="7"/>
        <w:tblW w:w="82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8"/>
        <w:gridCol w:w="49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比赛内容</w:t>
            </w:r>
          </w:p>
        </w:tc>
        <w:tc>
          <w:tcPr>
            <w:tcW w:w="495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参赛队应提交的文件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全站仪操作</w:t>
            </w:r>
          </w:p>
        </w:tc>
        <w:tc>
          <w:tcPr>
            <w:tcW w:w="495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水平角测量记录计算表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8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DS3光学水准仪操作</w:t>
            </w:r>
          </w:p>
        </w:tc>
        <w:tc>
          <w:tcPr>
            <w:tcW w:w="495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水准测量记录、计算表</w:t>
            </w:r>
          </w:p>
        </w:tc>
      </w:tr>
    </w:tbl>
    <w:p>
      <w:pPr>
        <w:snapToGrid w:val="0"/>
        <w:spacing w:line="500" w:lineRule="exact"/>
        <w:ind w:firstLine="640" w:firstLineChars="200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十一、比赛规则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1.进行仪器操作时，各队伍独立完成观测、数据记录与计算；施测结束立即把表格（观测与计算成果）交给裁判员。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2.参赛选手观测记录数据须是原始的真实数据，要求采用统一的记录、计算表格，要求采用钢笔或圆珠笔记录原始观测数据。测量数据的记录必须按规范要求填写不得篡改，否则成果无效。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3.从参赛选手听到裁判发出开始口令开始计时，参赛者完成内容后应立即报告，计时结束。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4.参赛选手技能操作（该单项）迟到10分钟者，该项目比赛以弃权处理。</w:t>
      </w:r>
    </w:p>
    <w:p>
      <w:pPr>
        <w:snapToGrid w:val="0"/>
        <w:spacing w:line="500" w:lineRule="exact"/>
        <w:ind w:firstLine="640" w:firstLineChars="200"/>
        <w:outlineLvl w:val="0"/>
        <w:rPr>
          <w:rFonts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十二、评分方法与标准</w:t>
      </w:r>
    </w:p>
    <w:p>
      <w:pPr>
        <w:spacing w:line="520" w:lineRule="exact"/>
        <w:ind w:firstLine="642" w:firstLineChars="200"/>
        <w:rPr>
          <w:rFonts w:ascii="仿宋_GB2312" w:hAnsi="仿宋_GB2312" w:eastAsia="仿宋_GB2312" w:cs="仿宋_GB2312"/>
          <w:b/>
          <w:bCs/>
          <w:sz w:val="32"/>
          <w:szCs w:val="40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（一）评分方法：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1.成绩评定由本项目比赛裁判组负责。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2.技能比赛各单项权重：水准测量占40%，导线测量占60%。</w:t>
      </w:r>
    </w:p>
    <w:p>
      <w:pPr>
        <w:spacing w:line="52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3.技能操作成绩由2个单项比赛成绩按各单项权重相加组成。各单项技能比赛成绩由裁判员根据选手的现场实际操作结果，按技能操作评分标准进行客观评判。技能比赛速度计时（成绩）：根据现场裁判员记录的比赛完成（结束）时间进行评分。</w:t>
      </w:r>
    </w:p>
    <w:p>
      <w:pPr>
        <w:snapToGrid w:val="0"/>
        <w:spacing w:line="500" w:lineRule="exact"/>
        <w:ind w:firstLine="642" w:firstLineChars="200"/>
        <w:outlineLvl w:val="0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（二）评分标准</w:t>
      </w:r>
    </w:p>
    <w:p>
      <w:pPr>
        <w:snapToGrid w:val="0"/>
        <w:spacing w:line="500" w:lineRule="exact"/>
        <w:ind w:firstLine="642" w:firstLineChars="200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1．全站仪操作</w:t>
      </w:r>
    </w:p>
    <w:p>
      <w:pPr>
        <w:snapToGrid w:val="0"/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评分标准见下表：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边角测量评分表</w:t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24"/>
          <w:u w:val="single"/>
        </w:rPr>
      </w:pPr>
      <w:r>
        <w:rPr>
          <w:rFonts w:hint="eastAsia" w:ascii="仿宋_GB2312" w:hAnsi="仿宋_GB2312" w:eastAsia="仿宋_GB2312" w:cs="仿宋_GB2312"/>
          <w:sz w:val="24"/>
        </w:rPr>
        <w:t>参赛者编号：                       总用时：分秒</w:t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 xml:space="preserve">开始：时分秒                        结束：时分秒       </w:t>
      </w:r>
    </w:p>
    <w:tbl>
      <w:tblPr>
        <w:tblStyle w:val="7"/>
        <w:tblW w:w="10309" w:type="dxa"/>
        <w:tblInd w:w="-612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4"/>
        <w:gridCol w:w="6750"/>
        <w:gridCol w:w="1501"/>
        <w:gridCol w:w="74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tblHeader/>
        </w:trPr>
        <w:tc>
          <w:tcPr>
            <w:tcW w:w="131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内 容</w:t>
            </w:r>
          </w:p>
        </w:tc>
        <w:tc>
          <w:tcPr>
            <w:tcW w:w="6750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评 分 标 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次（站）数</w:t>
            </w: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扣分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" w:hRule="atLeast"/>
        </w:trPr>
        <w:tc>
          <w:tcPr>
            <w:tcW w:w="1314" w:type="dxa"/>
            <w:vMerge w:val="restart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操 作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规范性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（20分）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扣完为止</w:t>
            </w: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对中误差大于2mm，一次扣2分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水准管气泡整平偏差大于2格，一次扣2分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每测站起始观测应从盘左开始，违反扣2分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脚架架设不稳定或有碰动1次扣1分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照准目标顺序应按规定进行，违反扣1分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仪器2米内无人看管或结束未装箱归位，一次扣1分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迁站时仪器未装箱，一次扣3分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每个测站应按规定编号进行观测和记录，违反一次扣2分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阻挡或妨碍其他队观测，一次扣4分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换站时不按规定路线行进，一次扣2分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观测过程中有其它明显不安全现象一次扣1分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1314" w:type="dxa"/>
            <w:vMerge w:val="restart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记 录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规范性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（20分）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扣完为止</w:t>
            </w: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转抄成果；厘米和毫米及秒改动；涂改、就字改字；连环涂改；用橡皮擦、刀刮；观测与计算数据不一致，一处扣5分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每测站记录表格没有填写完整，扣2分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记录、计算的占位“0”、“±”填写，违反一处扣0.5分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以上之外的违规情况，酌情扣分，一次扣1-3分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314" w:type="dxa"/>
            <w:vMerge w:val="restart"/>
            <w:vAlign w:val="center"/>
          </w:tcPr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成果精度</w:t>
            </w:r>
          </w:p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（50分）</w:t>
            </w:r>
          </w:p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扣完为止</w:t>
            </w: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水平角上下半测回较差＞30″，一次扣20分；上下半测回较差12″～30″,一次扣5分；＜12″不扣分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314" w:type="dxa"/>
            <w:vMerge w:val="continue"/>
            <w:vAlign w:val="center"/>
          </w:tcPr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闭合差计算错误或＞40″扣30分，方位角闭合差在20″～30″扣5分，＜20″不扣分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3" w:hRule="atLeast"/>
        </w:trPr>
        <w:tc>
          <w:tcPr>
            <w:tcW w:w="131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时  间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（10）分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规定时间</w:t>
            </w:r>
            <w:r>
              <w:rPr>
                <w:rFonts w:hint="eastAsia" w:ascii="仿宋_GB2312" w:hAnsi="仿宋_GB2312" w:eastAsia="仿宋_GB2312" w:cs="仿宋_GB2312"/>
                <w:kern w:val="0"/>
                <w:szCs w:val="21"/>
                <w:u w:val="single"/>
              </w:rPr>
              <w:t xml:space="preserve"> 45 </w:t>
            </w: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分钟，提前1分钟加0.5分，最多加10分；</w:t>
            </w: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超时每超一分钟扣0.5分。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0309" w:type="dxa"/>
            <w:gridSpan w:val="4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说明：                                                             合计扣分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得 分</w:t>
            </w:r>
          </w:p>
        </w:tc>
      </w:tr>
    </w:tbl>
    <w:p>
      <w:pPr>
        <w:spacing w:line="560" w:lineRule="exact"/>
        <w:ind w:firstLine="549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裁判签名：                日期：         年     月    </w:t>
      </w:r>
    </w:p>
    <w:p>
      <w:pPr>
        <w:snapToGrid w:val="0"/>
        <w:spacing w:line="500" w:lineRule="exact"/>
        <w:rPr>
          <w:rFonts w:ascii="仿宋_GB2312" w:hAnsi="仿宋_GB2312" w:eastAsia="仿宋_GB2312" w:cs="仿宋_GB2312"/>
          <w:b/>
          <w:sz w:val="32"/>
          <w:szCs w:val="32"/>
        </w:rPr>
      </w:pPr>
    </w:p>
    <w:p>
      <w:pPr>
        <w:snapToGrid w:val="0"/>
        <w:spacing w:line="500" w:lineRule="exact"/>
        <w:rPr>
          <w:rFonts w:ascii="仿宋" w:hAnsi="仿宋" w:eastAsia="仿宋" w:cs="仿宋"/>
          <w:b/>
          <w:sz w:val="28"/>
          <w:szCs w:val="28"/>
        </w:rPr>
      </w:pPr>
    </w:p>
    <w:p>
      <w:pPr>
        <w:snapToGrid w:val="0"/>
        <w:spacing w:line="500" w:lineRule="exac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2．DS3光学水准仪操作</w:t>
      </w:r>
    </w:p>
    <w:p>
      <w:pPr>
        <w:snapToGrid w:val="0"/>
        <w:spacing w:line="500" w:lineRule="exact"/>
        <w:outlineLvl w:val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评分标准见下表：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水准测量评分表</w:t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24"/>
          <w:u w:val="single"/>
        </w:rPr>
      </w:pPr>
      <w:r>
        <w:rPr>
          <w:rFonts w:hint="eastAsia" w:ascii="仿宋_GB2312" w:hAnsi="仿宋_GB2312" w:eastAsia="仿宋_GB2312" w:cs="仿宋_GB2312"/>
          <w:sz w:val="24"/>
        </w:rPr>
        <w:t>参赛者编号：                       总用时：分秒</w:t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 xml:space="preserve">开始：时分秒                        结束：时分秒       </w:t>
      </w:r>
    </w:p>
    <w:tbl>
      <w:tblPr>
        <w:tblStyle w:val="7"/>
        <w:tblW w:w="10309" w:type="dxa"/>
        <w:tblInd w:w="-612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4"/>
        <w:gridCol w:w="6750"/>
        <w:gridCol w:w="1501"/>
        <w:gridCol w:w="74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tblHeader/>
        </w:trPr>
        <w:tc>
          <w:tcPr>
            <w:tcW w:w="131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内 容</w:t>
            </w:r>
          </w:p>
        </w:tc>
        <w:tc>
          <w:tcPr>
            <w:tcW w:w="6750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评 分 标 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次（站）数</w:t>
            </w: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扣分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" w:hRule="atLeast"/>
        </w:trPr>
        <w:tc>
          <w:tcPr>
            <w:tcW w:w="1314" w:type="dxa"/>
            <w:vMerge w:val="restart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操 作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规范性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（20分）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扣完为止</w:t>
            </w: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照准目标顺序应按规定进行，违反扣2分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脚架架设不稳定或有碰动（骑马观测）1次扣1分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268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仪器2米内无人看管或结束未装箱归位，一次扣1分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每个测站应按规定编号进行观测和记录，违反一次扣4分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阻挡或妨碍其他队观测，一次扣4分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换站时不按规定路线行进，一次扣2分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215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观测过程中有其它明显不安全现象一次扣1分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1314" w:type="dxa"/>
            <w:vMerge w:val="restart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记 录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规范性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（20分）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扣完为止</w:t>
            </w: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转抄成果；厘米和毫米及秒改动；涂改、就字改字；连环涂改；用橡皮擦、刀刮；观测与计算数据不一致，一处扣5分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每测站记录表格没有填写完整，扣3分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记录、计算的占位“0”、“±”填写，违反一处扣0.5分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89" w:hRule="atLeast"/>
        </w:trPr>
        <w:tc>
          <w:tcPr>
            <w:tcW w:w="1314" w:type="dxa"/>
            <w:vMerge w:val="continue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以上之外的违规情况，酌情扣分，一次扣1-3分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314" w:type="dxa"/>
            <w:vMerge w:val="restart"/>
            <w:vAlign w:val="center"/>
          </w:tcPr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成果精度</w:t>
            </w:r>
          </w:p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（50分）</w:t>
            </w:r>
          </w:p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扣完为止</w:t>
            </w:r>
          </w:p>
        </w:tc>
        <w:tc>
          <w:tcPr>
            <w:tcW w:w="6750" w:type="dxa"/>
            <w:tcBorders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前后视距差超限3米，一次扣2分，累计差超限6米，扣5分。</w:t>
            </w:r>
          </w:p>
        </w:tc>
        <w:tc>
          <w:tcPr>
            <w:tcW w:w="1501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314" w:type="dxa"/>
            <w:vMerge w:val="continue"/>
            <w:vAlign w:val="center"/>
          </w:tcPr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基辅分划或红黑面读数互差大于2mm，一次扣1分；基辅分划或红黑面高差之差大于3mm，一次扣2分。</w:t>
            </w:r>
          </w:p>
        </w:tc>
        <w:tc>
          <w:tcPr>
            <w:tcW w:w="15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1314" w:type="dxa"/>
            <w:vMerge w:val="continue"/>
            <w:vAlign w:val="center"/>
          </w:tcPr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tcBorders>
              <w:top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视线长度超限一次扣2分；</w:t>
            </w:r>
          </w:p>
        </w:tc>
        <w:tc>
          <w:tcPr>
            <w:tcW w:w="1501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trHeight w:val="180" w:hRule="atLeast"/>
        </w:trPr>
        <w:tc>
          <w:tcPr>
            <w:tcW w:w="1314" w:type="dxa"/>
            <w:vMerge w:val="continue"/>
            <w:vAlign w:val="center"/>
          </w:tcPr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tcBorders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附和或环线闭合差超限，扣20分；</w:t>
            </w:r>
          </w:p>
        </w:tc>
        <w:tc>
          <w:tcPr>
            <w:tcW w:w="15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" w:hRule="atLeast"/>
        </w:trPr>
        <w:tc>
          <w:tcPr>
            <w:tcW w:w="1314" w:type="dxa"/>
            <w:vMerge w:val="continue"/>
            <w:vAlign w:val="center"/>
          </w:tcPr>
          <w:p>
            <w:pPr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tcBorders>
              <w:top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每千米高差中误差全中误差大于6mm扣10分</w:t>
            </w:r>
          </w:p>
        </w:tc>
        <w:tc>
          <w:tcPr>
            <w:tcW w:w="1501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3" w:hRule="atLeast"/>
        </w:trPr>
        <w:tc>
          <w:tcPr>
            <w:tcW w:w="131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时  间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（10）分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6750" w:type="dxa"/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标准操作时间内完成任务，不扣时间分，提前或超过标准时间的部分，均以一分钟为一个时间单位，每提前一个时间单位加0.5分；每增加一个时间单位扣0.5分；总时间以</w:t>
            </w:r>
            <w:r>
              <w:rPr>
                <w:rFonts w:hint="eastAsia" w:ascii="仿宋_GB2312" w:hAnsi="仿宋_GB2312" w:eastAsia="仿宋_GB2312" w:cs="仿宋_GB2312"/>
                <w:kern w:val="0"/>
                <w:szCs w:val="21"/>
                <w:u w:val="single"/>
              </w:rPr>
              <w:t xml:space="preserve"> 20 </w:t>
            </w: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分钟为限</w:t>
            </w:r>
          </w:p>
        </w:tc>
        <w:tc>
          <w:tcPr>
            <w:tcW w:w="1501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744" w:type="dxa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0309" w:type="dxa"/>
            <w:gridSpan w:val="4"/>
            <w:vAlign w:val="center"/>
          </w:tcPr>
          <w:p>
            <w:pPr>
              <w:widowControl/>
              <w:rPr>
                <w:rFonts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说明：                                                                合计扣分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Cs w:val="21"/>
              </w:rPr>
            </w:pP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Cs w:val="21"/>
              </w:rPr>
              <w:t>得 分</w:t>
            </w:r>
          </w:p>
        </w:tc>
      </w:tr>
    </w:tbl>
    <w:p>
      <w:pPr>
        <w:snapToGrid w:val="0"/>
        <w:spacing w:line="500" w:lineRule="exact"/>
        <w:ind w:firstLine="480" w:firstLineChars="15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裁判签名：                日期：         年    </w:t>
      </w:r>
    </w:p>
    <w:p>
      <w:pPr>
        <w:snapToGrid w:val="0"/>
        <w:spacing w:line="500" w:lineRule="exact"/>
        <w:ind w:firstLine="420" w:firstLineChars="150"/>
        <w:rPr>
          <w:rFonts w:ascii="仿宋" w:hAnsi="仿宋" w:eastAsia="仿宋" w:cs="仿宋"/>
          <w:sz w:val="28"/>
          <w:szCs w:val="28"/>
        </w:rPr>
      </w:pPr>
    </w:p>
    <w:p>
      <w:pPr>
        <w:snapToGrid w:val="0"/>
        <w:spacing w:line="500" w:lineRule="exact"/>
        <w:ind w:firstLine="420" w:firstLineChars="150"/>
        <w:rPr>
          <w:rFonts w:ascii="仿宋" w:hAnsi="仿宋" w:eastAsia="仿宋" w:cs="仿宋"/>
          <w:sz w:val="28"/>
          <w:szCs w:val="28"/>
        </w:rPr>
      </w:pPr>
    </w:p>
    <w:p>
      <w:pPr>
        <w:snapToGrid w:val="0"/>
        <w:spacing w:line="500" w:lineRule="exact"/>
        <w:rPr>
          <w:rFonts w:ascii="仿宋" w:hAnsi="仿宋" w:eastAsia="仿宋" w:cs="仿宋"/>
          <w:sz w:val="28"/>
          <w:szCs w:val="28"/>
        </w:rPr>
      </w:pPr>
    </w:p>
    <w:p>
      <w:pPr>
        <w:snapToGrid w:val="0"/>
        <w:spacing w:line="500" w:lineRule="exact"/>
        <w:rPr>
          <w:rFonts w:ascii="仿宋" w:hAnsi="仿宋" w:eastAsia="仿宋" w:cs="仿宋"/>
          <w:sz w:val="28"/>
          <w:szCs w:val="28"/>
        </w:rPr>
      </w:pPr>
    </w:p>
    <w:p>
      <w:pPr>
        <w:snapToGrid w:val="0"/>
        <w:spacing w:line="500" w:lineRule="exact"/>
        <w:rPr>
          <w:rFonts w:ascii="仿宋" w:hAnsi="仿宋" w:eastAsia="仿宋" w:cs="仿宋"/>
          <w:sz w:val="28"/>
          <w:szCs w:val="28"/>
        </w:rPr>
        <w:sectPr>
          <w:footerReference r:id="rId3" w:type="default"/>
          <w:pgSz w:w="11906" w:h="16838"/>
          <w:pgMar w:top="2098" w:right="1474" w:bottom="1985" w:left="1588" w:header="851" w:footer="992" w:gutter="0"/>
          <w:cols w:space="425" w:num="1"/>
          <w:docGrid w:type="lines" w:linePitch="312" w:charSpace="0"/>
        </w:sectPr>
      </w:pPr>
    </w:p>
    <w:p>
      <w:pPr>
        <w:snapToGrid w:val="0"/>
        <w:spacing w:line="540" w:lineRule="exact"/>
        <w:rPr>
          <w:rFonts w:hint="eastAsia" w:ascii="方正黑体简体" w:hAnsi="方正黑体简体" w:eastAsia="方正黑体简体" w:cs="方正黑体简体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</w:rPr>
        <w:t>附件2</w:t>
      </w:r>
    </w:p>
    <w:p>
      <w:pPr>
        <w:snapToGrid w:val="0"/>
        <w:spacing w:line="5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比赛成绩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统计表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1"/>
        <w:gridCol w:w="2998"/>
        <w:gridCol w:w="2025"/>
        <w:gridCol w:w="2025"/>
        <w:gridCol w:w="2025"/>
        <w:gridCol w:w="2025"/>
        <w:gridCol w:w="20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团队名称</w:t>
            </w: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理论得分</w:t>
            </w: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40"/>
              </w:rPr>
              <w:t>实操得分</w:t>
            </w: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最终得分</w:t>
            </w: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排名</w:t>
            </w: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40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</w:t>
            </w: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40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51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40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4</w:t>
            </w: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40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5</w:t>
            </w: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40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6</w:t>
            </w: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40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51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40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40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1" w:type="dxa"/>
          </w:tcPr>
          <w:p>
            <w:pPr>
              <w:snapToGrid w:val="0"/>
              <w:spacing w:line="540" w:lineRule="exact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.....</w:t>
            </w:r>
          </w:p>
        </w:tc>
        <w:tc>
          <w:tcPr>
            <w:tcW w:w="2998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40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  <w:tc>
          <w:tcPr>
            <w:tcW w:w="2025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</w:p>
        </w:tc>
      </w:tr>
    </w:tbl>
    <w:p>
      <w:pPr>
        <w:snapToGrid w:val="0"/>
        <w:spacing w:line="54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评委签字：</w:t>
      </w:r>
    </w:p>
    <w:p>
      <w:pPr>
        <w:snapToGrid w:val="0"/>
        <w:spacing w:line="540" w:lineRule="exact"/>
        <w:jc w:val="center"/>
        <w:rPr>
          <w:rFonts w:ascii="黑体" w:hAnsi="黑体" w:eastAsia="黑体" w:cs="黑体"/>
          <w:b/>
          <w:bCs/>
          <w:sz w:val="32"/>
          <w:szCs w:val="32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>
      <w:pPr>
        <w:snapToGrid w:val="0"/>
        <w:spacing w:line="540" w:lineRule="exact"/>
        <w:jc w:val="center"/>
        <w:rPr>
          <w:rFonts w:ascii="黑体" w:hAnsi="黑体" w:eastAsia="黑体" w:cs="黑体"/>
          <w:b/>
          <w:bCs/>
          <w:sz w:val="32"/>
          <w:szCs w:val="32"/>
        </w:rPr>
      </w:pPr>
    </w:p>
    <w:p>
      <w:pPr>
        <w:snapToGrid w:val="0"/>
        <w:spacing w:line="540" w:lineRule="exact"/>
        <w:jc w:val="center"/>
        <w:rPr>
          <w:rFonts w:ascii="黑体" w:hAnsi="黑体" w:eastAsia="黑体" w:cs="黑体"/>
          <w:b/>
          <w:bCs/>
          <w:sz w:val="32"/>
          <w:szCs w:val="32"/>
        </w:rPr>
      </w:pPr>
    </w:p>
    <w:p>
      <w:pPr>
        <w:snapToGrid w:val="0"/>
        <w:spacing w:line="540" w:lineRule="exact"/>
        <w:rPr>
          <w:rFonts w:hint="eastAsia" w:ascii="方正黑体简体" w:hAnsi="方正黑体简体" w:eastAsia="方正黑体简体" w:cs="方正黑体简体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</w:rPr>
        <w:t>附件3</w:t>
      </w:r>
    </w:p>
    <w:p>
      <w:pPr>
        <w:snapToGrid w:val="0"/>
        <w:spacing w:line="5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威海市测量职业技能竞赛报名表</w:t>
      </w:r>
    </w:p>
    <w:p>
      <w:pPr>
        <w:snapToGrid w:val="0"/>
        <w:spacing w:line="54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参赛单位全称（盖章）：                                                     年  月  日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3"/>
        <w:gridCol w:w="2284"/>
        <w:gridCol w:w="2537"/>
        <w:gridCol w:w="2667"/>
        <w:gridCol w:w="2519"/>
        <w:gridCol w:w="1570"/>
        <w:gridCol w:w="15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3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2284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参赛选手姓名</w:t>
            </w:r>
          </w:p>
        </w:tc>
        <w:tc>
          <w:tcPr>
            <w:tcW w:w="2537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身份证号</w:t>
            </w:r>
          </w:p>
        </w:tc>
        <w:tc>
          <w:tcPr>
            <w:tcW w:w="2667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联系方式</w:t>
            </w:r>
          </w:p>
        </w:tc>
        <w:tc>
          <w:tcPr>
            <w:tcW w:w="2519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所在单位</w:t>
            </w: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团队名称</w:t>
            </w: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是否领队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3" w:type="dxa"/>
          </w:tcPr>
          <w:p>
            <w:pPr>
              <w:snapToGrid w:val="0"/>
              <w:spacing w:line="54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2284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3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6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19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3" w:type="dxa"/>
          </w:tcPr>
          <w:p>
            <w:pPr>
              <w:snapToGrid w:val="0"/>
              <w:spacing w:line="54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</w:p>
        </w:tc>
        <w:tc>
          <w:tcPr>
            <w:tcW w:w="2284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3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6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19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23" w:type="dxa"/>
          </w:tcPr>
          <w:p>
            <w:pPr>
              <w:snapToGrid w:val="0"/>
              <w:spacing w:line="54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</w:p>
        </w:tc>
        <w:tc>
          <w:tcPr>
            <w:tcW w:w="2284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3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6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19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3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4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3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6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19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3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84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3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67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2519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70" w:type="dxa"/>
          </w:tcPr>
          <w:p>
            <w:pPr>
              <w:snapToGrid w:val="0"/>
              <w:spacing w:line="54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snapToGrid w:val="0"/>
        <w:spacing w:line="540" w:lineRule="exact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54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参赛单位联系人：                                      联系电话（手机）：</w:t>
      </w:r>
    </w:p>
    <w:p>
      <w:pPr>
        <w:snapToGrid w:val="0"/>
        <w:spacing w:line="540" w:lineRule="exact"/>
        <w:rPr>
          <w:rFonts w:ascii="仿宋" w:hAnsi="仿宋" w:eastAsia="仿宋" w:cs="仿宋"/>
          <w:sz w:val="32"/>
          <w:szCs w:val="32"/>
        </w:rPr>
      </w:pPr>
    </w:p>
    <w:sectPr>
      <w:type w:val="continuous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Nimbus Roman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4"/>
                  <w:rPr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fldChar w:fldCharType="begin"/>
                </w:r>
                <w:r>
                  <w:rPr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sz w:val="28"/>
                    <w:szCs w:val="28"/>
                  </w:rPr>
                  <w:fldChar w:fldCharType="separate"/>
                </w:r>
                <w:r>
                  <w:rPr>
                    <w:sz w:val="28"/>
                    <w:szCs w:val="28"/>
                  </w:rPr>
                  <w:t>1</w:t>
                </w:r>
                <w:r>
                  <w:rPr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WNhZmViMjdkOThiODQwNjcwZjA2OTNlMmM0OTZiNzQifQ=="/>
  </w:docVars>
  <w:rsids>
    <w:rsidRoot w:val="0082493A"/>
    <w:rsid w:val="00030D35"/>
    <w:rsid w:val="000B2F53"/>
    <w:rsid w:val="001D04F1"/>
    <w:rsid w:val="002027C9"/>
    <w:rsid w:val="002B084B"/>
    <w:rsid w:val="002C0039"/>
    <w:rsid w:val="00366692"/>
    <w:rsid w:val="003856F5"/>
    <w:rsid w:val="004E3478"/>
    <w:rsid w:val="005E2A85"/>
    <w:rsid w:val="0060798E"/>
    <w:rsid w:val="00704118"/>
    <w:rsid w:val="00823269"/>
    <w:rsid w:val="0082493A"/>
    <w:rsid w:val="00A762A6"/>
    <w:rsid w:val="00D314E3"/>
    <w:rsid w:val="00D6285A"/>
    <w:rsid w:val="01CF5070"/>
    <w:rsid w:val="08DF64FD"/>
    <w:rsid w:val="0B8D66E4"/>
    <w:rsid w:val="0C5E3BDC"/>
    <w:rsid w:val="0E7D2A40"/>
    <w:rsid w:val="11731ED8"/>
    <w:rsid w:val="117D5F68"/>
    <w:rsid w:val="12747CB6"/>
    <w:rsid w:val="14382F65"/>
    <w:rsid w:val="146401FE"/>
    <w:rsid w:val="14922675"/>
    <w:rsid w:val="14C76DBB"/>
    <w:rsid w:val="1A352420"/>
    <w:rsid w:val="1D6FD420"/>
    <w:rsid w:val="1FDE933A"/>
    <w:rsid w:val="206D3F96"/>
    <w:rsid w:val="21224A3A"/>
    <w:rsid w:val="262D044F"/>
    <w:rsid w:val="2640208A"/>
    <w:rsid w:val="26681488"/>
    <w:rsid w:val="27A04C51"/>
    <w:rsid w:val="2D0D0FDB"/>
    <w:rsid w:val="2F4B75B1"/>
    <w:rsid w:val="2F7F954C"/>
    <w:rsid w:val="2FFE7F37"/>
    <w:rsid w:val="31853836"/>
    <w:rsid w:val="33FC5905"/>
    <w:rsid w:val="33FF2288"/>
    <w:rsid w:val="35695850"/>
    <w:rsid w:val="35FA33E7"/>
    <w:rsid w:val="35FB5D9C"/>
    <w:rsid w:val="379F0A81"/>
    <w:rsid w:val="3AF18615"/>
    <w:rsid w:val="3B5BBDB0"/>
    <w:rsid w:val="3D430101"/>
    <w:rsid w:val="3F3F8F8B"/>
    <w:rsid w:val="419B49AF"/>
    <w:rsid w:val="41C14B0E"/>
    <w:rsid w:val="43811983"/>
    <w:rsid w:val="448654A3"/>
    <w:rsid w:val="449C4CC6"/>
    <w:rsid w:val="45F81DF1"/>
    <w:rsid w:val="46E44703"/>
    <w:rsid w:val="49236FA4"/>
    <w:rsid w:val="4FE2508D"/>
    <w:rsid w:val="506961CB"/>
    <w:rsid w:val="519F730D"/>
    <w:rsid w:val="52A116FA"/>
    <w:rsid w:val="52D41ACF"/>
    <w:rsid w:val="55191A1B"/>
    <w:rsid w:val="58360B36"/>
    <w:rsid w:val="5B85605C"/>
    <w:rsid w:val="5BF2B1E3"/>
    <w:rsid w:val="5CF54787"/>
    <w:rsid w:val="5ED46A2D"/>
    <w:rsid w:val="5FCFEE53"/>
    <w:rsid w:val="5FF17B44"/>
    <w:rsid w:val="5FF765AF"/>
    <w:rsid w:val="604162CA"/>
    <w:rsid w:val="61016185"/>
    <w:rsid w:val="613FDCFA"/>
    <w:rsid w:val="638627DF"/>
    <w:rsid w:val="63E94CAF"/>
    <w:rsid w:val="63FB7346"/>
    <w:rsid w:val="658FBBD7"/>
    <w:rsid w:val="67FB6A6C"/>
    <w:rsid w:val="69790883"/>
    <w:rsid w:val="69FF6C73"/>
    <w:rsid w:val="6A042842"/>
    <w:rsid w:val="6B2AE4A3"/>
    <w:rsid w:val="6B8A6D77"/>
    <w:rsid w:val="6BCB2F6A"/>
    <w:rsid w:val="6CDB55C1"/>
    <w:rsid w:val="6DDBF825"/>
    <w:rsid w:val="6E7855AD"/>
    <w:rsid w:val="6FAFCA64"/>
    <w:rsid w:val="6FB77AAD"/>
    <w:rsid w:val="6FEE0170"/>
    <w:rsid w:val="73261A7B"/>
    <w:rsid w:val="73C92407"/>
    <w:rsid w:val="74640AAD"/>
    <w:rsid w:val="74B946F2"/>
    <w:rsid w:val="75F79824"/>
    <w:rsid w:val="7750356B"/>
    <w:rsid w:val="78300CA6"/>
    <w:rsid w:val="78EA70A7"/>
    <w:rsid w:val="79F7A5AB"/>
    <w:rsid w:val="7A010E70"/>
    <w:rsid w:val="7AFF8467"/>
    <w:rsid w:val="7B65510B"/>
    <w:rsid w:val="7BBBD989"/>
    <w:rsid w:val="7C52743D"/>
    <w:rsid w:val="7C907F65"/>
    <w:rsid w:val="7CC83BA3"/>
    <w:rsid w:val="7CFE7F7B"/>
    <w:rsid w:val="7D3B0401"/>
    <w:rsid w:val="7DF2712A"/>
    <w:rsid w:val="7E991353"/>
    <w:rsid w:val="7F1BC3AE"/>
    <w:rsid w:val="7F5B60F1"/>
    <w:rsid w:val="7F759F19"/>
    <w:rsid w:val="7F9EEFAA"/>
    <w:rsid w:val="7FA498AC"/>
    <w:rsid w:val="7FAB06AC"/>
    <w:rsid w:val="7FB78B13"/>
    <w:rsid w:val="7FBFCB65"/>
    <w:rsid w:val="7FF64A76"/>
    <w:rsid w:val="7FFF6DAA"/>
    <w:rsid w:val="86CF3272"/>
    <w:rsid w:val="87FFA449"/>
    <w:rsid w:val="9F9F20A3"/>
    <w:rsid w:val="B25931BA"/>
    <w:rsid w:val="B7DF1778"/>
    <w:rsid w:val="BA7B23C6"/>
    <w:rsid w:val="BC6FD932"/>
    <w:rsid w:val="BDA5B145"/>
    <w:rsid w:val="BE33E036"/>
    <w:rsid w:val="BFCFCF7E"/>
    <w:rsid w:val="BFDAC740"/>
    <w:rsid w:val="BFDD2171"/>
    <w:rsid w:val="CB3BF03D"/>
    <w:rsid w:val="CEFFE608"/>
    <w:rsid w:val="CFF70DCD"/>
    <w:rsid w:val="CFF7E7AA"/>
    <w:rsid w:val="D77FE0F4"/>
    <w:rsid w:val="D9B72234"/>
    <w:rsid w:val="DEFAC6A6"/>
    <w:rsid w:val="DEFEC249"/>
    <w:rsid w:val="DF7F6DF9"/>
    <w:rsid w:val="DFF73359"/>
    <w:rsid w:val="E5BFF1C7"/>
    <w:rsid w:val="E67F29BB"/>
    <w:rsid w:val="EDFA489E"/>
    <w:rsid w:val="EF7CA12E"/>
    <w:rsid w:val="F2F3C8C9"/>
    <w:rsid w:val="F3BF05BA"/>
    <w:rsid w:val="F3D3E162"/>
    <w:rsid w:val="F3DFAAA4"/>
    <w:rsid w:val="F7FFAAB9"/>
    <w:rsid w:val="FBA22044"/>
    <w:rsid w:val="FBA26CBE"/>
    <w:rsid w:val="FD7FA771"/>
    <w:rsid w:val="FE734873"/>
    <w:rsid w:val="FF341102"/>
    <w:rsid w:val="FF7E66D5"/>
    <w:rsid w:val="FFBDDFB3"/>
    <w:rsid w:val="FFE780C3"/>
    <w:rsid w:val="FFF97406"/>
    <w:rsid w:val="FFFF20D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AutoShape 31"/>
        <o:r id="V:Rule2" type="connector" idref="#AutoShape 32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  <w:rPr>
      <w:rFonts w:hint="eastAsia"/>
      <w:sz w:val="21"/>
      <w:szCs w:val="24"/>
    </w:rPr>
  </w:style>
  <w:style w:type="paragraph" w:styleId="3">
    <w:name w:val="Date"/>
    <w:basedOn w:val="1"/>
    <w:next w:val="1"/>
    <w:unhideWhenUsed/>
    <w:qFormat/>
    <w:uiPriority w:val="99"/>
    <w:pPr>
      <w:ind w:left="100" w:leftChars="2500"/>
    </w:pPr>
    <w:rPr>
      <w:rFonts w:hint="eastAsia"/>
      <w:sz w:val="21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unhideWhenUsed/>
    <w:qFormat/>
    <w:uiPriority w:val="0"/>
  </w:style>
  <w:style w:type="character" w:styleId="11">
    <w:name w:val="Emphasis"/>
    <w:basedOn w:val="9"/>
    <w:qFormat/>
    <w:uiPriority w:val="0"/>
    <w:rPr>
      <w:i/>
    </w:rPr>
  </w:style>
  <w:style w:type="paragraph" w:customStyle="1" w:styleId="12">
    <w:name w:val="列出段落1"/>
    <w:basedOn w:val="1"/>
    <w:qFormat/>
    <w:uiPriority w:val="34"/>
    <w:pPr>
      <w:ind w:firstLine="420" w:firstLineChars="200"/>
    </w:pPr>
  </w:style>
  <w:style w:type="paragraph" w:customStyle="1" w:styleId="13">
    <w:name w:val="列表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 textRotate="1"/>
    <customShpInfo spid="_x0000_s1029" textRotate="1"/>
    <customShpInfo spid="_x0000_s1031"/>
    <customShpInfo spid="_x0000_s1030"/>
    <customShpInfo spid="_x0000_s1026"/>
    <customShpInfo spid="_x0000_s1028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14</Pages>
  <Words>873</Words>
  <Characters>4980</Characters>
  <Lines>41</Lines>
  <Paragraphs>11</Paragraphs>
  <TotalTime>4</TotalTime>
  <ScaleCrop>false</ScaleCrop>
  <LinksUpToDate>false</LinksUpToDate>
  <CharactersWithSpaces>5842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2023-08-13T00:38:00Z</dcterms:created>
  <dc:creator>夏坏城</dc:creator>
  <cp:lastModifiedBy>user</cp:lastModifiedBy>
  <cp:lastPrinted>2023-08-11T17:13:00Z</cp:lastPrinted>
  <dcterms:modified xsi:type="dcterms:W3CDTF">2023-08-14T08:16:47Z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3D8D7B6669BE48E18C4227E5C92E5A35_13</vt:lpwstr>
  </property>
</Properties>
</file>