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before="2"/>
        <w:ind w:left="0"/>
        <w:rPr>
          <w:rFonts w:ascii="Times New Roman"/>
          <w:sz w:val="23"/>
        </w:rPr>
      </w:pPr>
    </w:p>
    <w:p>
      <w:pPr>
        <w:spacing w:line="562" w:lineRule="exact"/>
        <w:ind w:left="1869"/>
        <w:rPr>
          <w:rFonts w:ascii="方正小标宋简体" w:eastAsia="方正小标宋简体"/>
          <w:b/>
          <w:sz w:val="32"/>
        </w:rPr>
      </w:pPr>
      <w:r>
        <w:rPr>
          <w:lang w:val="en-US" w:bidi="ar-SA"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1162685</wp:posOffset>
            </wp:positionH>
            <wp:positionV relativeFrom="paragraph">
              <wp:posOffset>-164465</wp:posOffset>
            </wp:positionV>
            <wp:extent cx="897890" cy="897890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jpeg"/>
                    <pic:cNvPicPr>
                      <a:picLocks noChangeAspect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7636" cy="8976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方正小标宋简体" w:eastAsia="方正小标宋简体"/>
          <w:b/>
          <w:sz w:val="32"/>
        </w:rPr>
        <w:t>第十二期工会会员爱心互助补充医疗保险工程</w:t>
      </w:r>
    </w:p>
    <w:p>
      <w:pPr>
        <w:spacing w:before="145"/>
        <w:ind w:left="2176" w:right="2293"/>
        <w:jc w:val="center"/>
        <w:rPr>
          <w:sz w:val="32"/>
        </w:rPr>
      </w:pPr>
      <w:r>
        <w:rPr>
          <w:sz w:val="32"/>
        </w:rPr>
        <w:t>（一）住院医疗互助保障项目</w:t>
      </w:r>
    </w:p>
    <w:p>
      <w:pPr>
        <w:pStyle w:val="2"/>
        <w:spacing w:before="109" w:line="242" w:lineRule="auto"/>
        <w:ind w:left="1320" w:right="235" w:hanging="1200"/>
      </w:pPr>
      <w:r>
        <w:rPr>
          <w:b/>
          <w:spacing w:val="-5"/>
        </w:rPr>
        <w:t>参保对象：</w:t>
      </w:r>
      <w:r>
        <w:rPr>
          <w:spacing w:val="-7"/>
        </w:rPr>
        <w:t>威海市行政区域内的党政机关、全市企事业单位、社会团体、民办非</w:t>
      </w:r>
      <w:r>
        <w:t>企业组织中参加城镇职工基本医疗保险的在职在岗工会会员。</w:t>
      </w:r>
    </w:p>
    <w:p>
      <w:pPr>
        <w:pStyle w:val="2"/>
        <w:spacing w:before="3"/>
        <w:ind w:left="120"/>
      </w:pPr>
      <w:r>
        <w:rPr>
          <w:b/>
        </w:rPr>
        <w:t>保障期限：</w:t>
      </w:r>
      <w:r>
        <w:t>2021 年 3 月 12 日至 2021 年 12 月 31 日</w:t>
      </w:r>
    </w:p>
    <w:p>
      <w:pPr>
        <w:pStyle w:val="2"/>
        <w:spacing w:line="242" w:lineRule="auto"/>
        <w:ind w:left="2520" w:right="232" w:hanging="2400"/>
      </w:pPr>
      <w:r>
        <w:rPr>
          <w:b/>
        </w:rPr>
        <w:t>缴费标准：</w:t>
      </w:r>
      <w:r>
        <w:t>48.5</w:t>
      </w:r>
      <w:r>
        <w:rPr>
          <w:spacing w:val="-22"/>
        </w:rPr>
        <w:t xml:space="preserve"> 元</w:t>
      </w:r>
      <w:r>
        <w:t>/年（</w:t>
      </w:r>
      <w:r>
        <w:rPr>
          <w:spacing w:val="-6"/>
        </w:rPr>
        <w:t xml:space="preserve">参保会员个人负担 </w:t>
      </w:r>
      <w:r>
        <w:t>40.4</w:t>
      </w:r>
      <w:r>
        <w:rPr>
          <w:spacing w:val="-6"/>
        </w:rPr>
        <w:t xml:space="preserve"> 元，市总工会为每名参保会员</w:t>
      </w:r>
      <w:r>
        <w:rPr>
          <w:spacing w:val="-25"/>
        </w:rPr>
        <w:t xml:space="preserve">补贴 </w:t>
      </w:r>
      <w:r>
        <w:t>8.1</w:t>
      </w:r>
      <w:r>
        <w:rPr>
          <w:spacing w:val="-30"/>
        </w:rPr>
        <w:t xml:space="preserve"> 元</w:t>
      </w:r>
      <w:r>
        <w:t>）</w:t>
      </w:r>
    </w:p>
    <w:p>
      <w:pPr>
        <w:pStyle w:val="2"/>
        <w:spacing w:before="2" w:line="242" w:lineRule="auto"/>
        <w:ind w:left="1320" w:right="115" w:hanging="1200"/>
      </w:pPr>
      <w:r>
        <w:rPr>
          <w:b/>
          <w:spacing w:val="-11"/>
        </w:rPr>
        <w:t>保障责任：</w:t>
      </w:r>
      <w:r>
        <w:rPr>
          <w:spacing w:val="-6"/>
        </w:rPr>
        <w:t>参保会员因病住院，发生的在城镇职工基本医疗保险统筹支付范围内</w:t>
      </w:r>
      <w:r>
        <w:rPr>
          <w:spacing w:val="-10"/>
        </w:rPr>
        <w:t>的费用，扣除住院起付线</w:t>
      </w:r>
      <w:r>
        <w:t>（</w:t>
      </w:r>
      <w:r>
        <w:rPr>
          <w:spacing w:val="-8"/>
        </w:rPr>
        <w:t>即，过桥费</w:t>
      </w:r>
      <w:r>
        <w:rPr>
          <w:spacing w:val="-29"/>
        </w:rPr>
        <w:t>）</w:t>
      </w:r>
      <w:r>
        <w:rPr>
          <w:spacing w:val="-20"/>
        </w:rPr>
        <w:t xml:space="preserve">后，达到 </w:t>
      </w:r>
      <w:r>
        <w:t>0.8</w:t>
      </w:r>
      <w:r>
        <w:rPr>
          <w:spacing w:val="-30"/>
        </w:rPr>
        <w:t xml:space="preserve"> 万元</w:t>
      </w:r>
      <w:r>
        <w:t>（含</w:t>
      </w:r>
      <w:r>
        <w:rPr>
          <w:spacing w:val="-32"/>
        </w:rPr>
        <w:t>）</w:t>
      </w:r>
      <w:r>
        <w:rPr>
          <w:spacing w:val="-7"/>
        </w:rPr>
        <w:t xml:space="preserve">的， </w:t>
      </w:r>
      <w:r>
        <w:t>即给予理赔。</w:t>
      </w:r>
    </w:p>
    <w:tbl>
      <w:tblPr>
        <w:tblStyle w:val="8"/>
        <w:tblW w:w="0" w:type="auto"/>
        <w:tblInd w:w="16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61"/>
        <w:gridCol w:w="2475"/>
        <w:gridCol w:w="2111"/>
        <w:gridCol w:w="147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76" w:hRule="atLeast"/>
        </w:trPr>
        <w:tc>
          <w:tcPr>
            <w:tcW w:w="2061" w:type="dxa"/>
          </w:tcPr>
          <w:p>
            <w:pPr>
              <w:pStyle w:val="11"/>
              <w:ind w:left="586"/>
              <w:rPr>
                <w:b/>
                <w:sz w:val="24"/>
              </w:rPr>
            </w:pPr>
            <w:r>
              <w:rPr>
                <w:b/>
                <w:sz w:val="24"/>
              </w:rPr>
              <w:t>分档区间</w:t>
            </w:r>
          </w:p>
        </w:tc>
        <w:tc>
          <w:tcPr>
            <w:tcW w:w="2475" w:type="dxa"/>
          </w:tcPr>
          <w:p>
            <w:pPr>
              <w:pStyle w:val="11"/>
              <w:ind w:left="637"/>
              <w:rPr>
                <w:b/>
                <w:sz w:val="24"/>
              </w:rPr>
            </w:pPr>
            <w:r>
              <w:rPr>
                <w:b/>
                <w:sz w:val="24"/>
              </w:rPr>
              <w:t>纳入统筹额</w:t>
            </w:r>
          </w:p>
        </w:tc>
        <w:tc>
          <w:tcPr>
            <w:tcW w:w="2111" w:type="dxa"/>
          </w:tcPr>
          <w:p>
            <w:pPr>
              <w:pStyle w:val="11"/>
              <w:ind w:left="478"/>
              <w:rPr>
                <w:b/>
                <w:sz w:val="24"/>
              </w:rPr>
            </w:pPr>
            <w:r>
              <w:rPr>
                <w:b/>
                <w:sz w:val="24"/>
              </w:rPr>
              <w:t>理赔金额</w:t>
            </w:r>
          </w:p>
        </w:tc>
        <w:tc>
          <w:tcPr>
            <w:tcW w:w="1474" w:type="dxa"/>
            <w:vMerge w:val="restart"/>
            <w:vAlign w:val="center"/>
          </w:tcPr>
          <w:p>
            <w:pPr>
              <w:pStyle w:val="11"/>
              <w:spacing w:before="0" w:line="242" w:lineRule="auto"/>
              <w:ind w:left="0" w:right="101"/>
              <w:jc w:val="center"/>
              <w:rPr>
                <w:sz w:val="24"/>
              </w:rPr>
            </w:pPr>
            <w:r>
              <w:rPr>
                <w:sz w:val="24"/>
              </w:rPr>
              <w:t>一个保障期内最高理赔金额5 万</w:t>
            </w:r>
            <w:bookmarkStart w:id="0" w:name="_GoBack"/>
            <w:bookmarkEnd w:id="0"/>
            <w:r>
              <w:rPr>
                <w:sz w:val="24"/>
              </w:rPr>
              <w:t>元。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33" w:hRule="atLeast"/>
        </w:trPr>
        <w:tc>
          <w:tcPr>
            <w:tcW w:w="2061" w:type="dxa"/>
            <w:vAlign w:val="center"/>
          </w:tcPr>
          <w:p>
            <w:pPr>
              <w:pStyle w:val="11"/>
              <w:spacing w:before="42"/>
              <w:jc w:val="center"/>
              <w:rPr>
                <w:sz w:val="24"/>
              </w:rPr>
            </w:pPr>
            <w:r>
              <w:rPr>
                <w:sz w:val="24"/>
              </w:rPr>
              <w:t>过桥费-4 万</w:t>
            </w:r>
          </w:p>
        </w:tc>
        <w:tc>
          <w:tcPr>
            <w:tcW w:w="2475" w:type="dxa"/>
            <w:vMerge w:val="restart"/>
            <w:vAlign w:val="center"/>
          </w:tcPr>
          <w:p>
            <w:pPr>
              <w:pStyle w:val="11"/>
              <w:spacing w:before="30" w:line="242" w:lineRule="auto"/>
              <w:ind w:left="107" w:right="-29" w:hanging="5"/>
              <w:jc w:val="center"/>
              <w:rPr>
                <w:sz w:val="24"/>
              </w:rPr>
            </w:pPr>
            <w:r>
              <w:rPr>
                <w:sz w:val="24"/>
              </w:rPr>
              <w:t>纳入统筹额（可多次累加</w:t>
            </w:r>
            <w:r>
              <w:rPr>
                <w:spacing w:val="-22"/>
                <w:sz w:val="24"/>
              </w:rPr>
              <w:t>）</w:t>
            </w:r>
            <w:r>
              <w:rPr>
                <w:spacing w:val="-2"/>
                <w:sz w:val="24"/>
              </w:rPr>
              <w:t xml:space="preserve">扣除过桥费后， </w:t>
            </w:r>
            <w:r>
              <w:rPr>
                <w:spacing w:val="-20"/>
                <w:sz w:val="24"/>
              </w:rPr>
              <w:t xml:space="preserve">超过 </w:t>
            </w:r>
            <w:r>
              <w:rPr>
                <w:sz w:val="24"/>
              </w:rPr>
              <w:t>0.8</w:t>
            </w:r>
            <w:r>
              <w:rPr>
                <w:spacing w:val="-10"/>
                <w:sz w:val="24"/>
              </w:rPr>
              <w:t xml:space="preserve"> 万元即可在</w:t>
            </w:r>
          </w:p>
          <w:p>
            <w:pPr>
              <w:pStyle w:val="11"/>
              <w:spacing w:before="4"/>
              <w:ind w:left="107"/>
              <w:jc w:val="center"/>
              <w:rPr>
                <w:sz w:val="24"/>
              </w:rPr>
            </w:pPr>
            <w:r>
              <w:rPr>
                <w:sz w:val="24"/>
              </w:rPr>
              <w:t>180 日内申请理赔。</w:t>
            </w:r>
          </w:p>
        </w:tc>
        <w:tc>
          <w:tcPr>
            <w:tcW w:w="2111" w:type="dxa"/>
          </w:tcPr>
          <w:p>
            <w:pPr>
              <w:pStyle w:val="11"/>
              <w:spacing w:before="42"/>
              <w:rPr>
                <w:sz w:val="24"/>
              </w:rPr>
            </w:pPr>
            <w:r>
              <w:rPr>
                <w:rFonts w:hint="eastAsia"/>
                <w:sz w:val="20"/>
              </w:rPr>
              <w:t>对基本医疗保险报销后剩余的部分</w:t>
            </w:r>
            <w:r>
              <w:rPr>
                <w:sz w:val="20"/>
              </w:rPr>
              <w:t>*</w:t>
            </w:r>
            <w:r>
              <w:rPr>
                <w:sz w:val="24"/>
                <w:szCs w:val="24"/>
              </w:rPr>
              <w:t xml:space="preserve">65 </w:t>
            </w:r>
            <w:r>
              <w:rPr>
                <w:spacing w:val="5"/>
                <w:sz w:val="24"/>
                <w:szCs w:val="24"/>
                <w:lang w:val="en-US" w:bidi="ar-SA"/>
              </w:rPr>
              <w:drawing>
                <wp:inline distT="0" distB="0" distL="0" distR="0">
                  <wp:extent cx="68580" cy="106680"/>
                  <wp:effectExtent l="0" t="0" r="0" b="0"/>
                  <wp:docPr id="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2.png"/>
                          <pic:cNvPicPr>
                            <a:picLocks noChangeAspect="1"/>
                          </pic:cNvPicPr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151" cy="1068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74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21" w:hRule="atLeast"/>
        </w:trPr>
        <w:tc>
          <w:tcPr>
            <w:tcW w:w="2061" w:type="dxa"/>
            <w:vAlign w:val="center"/>
          </w:tcPr>
          <w:p>
            <w:pPr>
              <w:pStyle w:val="11"/>
              <w:spacing w:before="57"/>
              <w:ind w:left="130"/>
              <w:jc w:val="center"/>
              <w:rPr>
                <w:sz w:val="24"/>
              </w:rPr>
            </w:pPr>
            <w:r>
              <w:rPr>
                <w:sz w:val="24"/>
              </w:rPr>
              <w:t>4 万（含）-20 万</w:t>
            </w:r>
          </w:p>
        </w:tc>
        <w:tc>
          <w:tcPr>
            <w:tcW w:w="2475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11" w:type="dxa"/>
          </w:tcPr>
          <w:p>
            <w:pPr>
              <w:pStyle w:val="11"/>
              <w:spacing w:before="57"/>
              <w:rPr>
                <w:sz w:val="24"/>
              </w:rPr>
            </w:pPr>
            <w:r>
              <w:rPr>
                <w:rFonts w:hint="eastAsia"/>
                <w:sz w:val="20"/>
              </w:rPr>
              <w:t>对基本医疗保险报销后剩余的部分</w:t>
            </w:r>
            <w:r>
              <w:rPr>
                <w:sz w:val="24"/>
              </w:rPr>
              <w:t xml:space="preserve">*75 </w:t>
            </w:r>
            <w:r>
              <w:rPr>
                <w:spacing w:val="5"/>
                <w:sz w:val="24"/>
                <w:lang w:val="en-US" w:bidi="ar-SA"/>
              </w:rPr>
              <w:drawing>
                <wp:inline distT="0" distB="0" distL="0" distR="0">
                  <wp:extent cx="68580" cy="106680"/>
                  <wp:effectExtent l="0" t="0" r="0" b="0"/>
                  <wp:docPr id="5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png"/>
                          <pic:cNvPicPr>
                            <a:picLocks noChangeAspect="1"/>
                          </pic:cNvPicPr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151" cy="1068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74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655" w:hRule="exact"/>
        </w:trPr>
        <w:tc>
          <w:tcPr>
            <w:tcW w:w="2061" w:type="dxa"/>
            <w:vAlign w:val="center"/>
          </w:tcPr>
          <w:p>
            <w:pPr>
              <w:pStyle w:val="11"/>
              <w:spacing w:before="81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  <w:r>
              <w:rPr>
                <w:spacing w:val="-48"/>
                <w:sz w:val="24"/>
              </w:rPr>
              <w:t xml:space="preserve"> 万</w:t>
            </w:r>
            <w:r>
              <w:rPr>
                <w:sz w:val="24"/>
              </w:rPr>
              <w:t>（含</w:t>
            </w:r>
            <w:r>
              <w:rPr>
                <w:spacing w:val="-10"/>
                <w:sz w:val="24"/>
              </w:rPr>
              <w:t>）-46</w:t>
            </w:r>
            <w:r>
              <w:rPr>
                <w:spacing w:val="-30"/>
                <w:sz w:val="24"/>
              </w:rPr>
              <w:t xml:space="preserve"> 万</w:t>
            </w:r>
          </w:p>
        </w:tc>
        <w:tc>
          <w:tcPr>
            <w:tcW w:w="2475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11" w:type="dxa"/>
          </w:tcPr>
          <w:p>
            <w:pPr>
              <w:pStyle w:val="11"/>
              <w:spacing w:before="81"/>
              <w:ind w:left="118"/>
              <w:rPr>
                <w:sz w:val="24"/>
              </w:rPr>
            </w:pPr>
            <w:r>
              <w:rPr>
                <w:rFonts w:hint="eastAsia"/>
                <w:sz w:val="20"/>
              </w:rPr>
              <w:t>对基本医疗保险报销后剩余的部分</w:t>
            </w:r>
            <w:r>
              <w:rPr>
                <w:sz w:val="24"/>
              </w:rPr>
              <w:t xml:space="preserve">*70 </w:t>
            </w:r>
            <w:r>
              <w:rPr>
                <w:spacing w:val="5"/>
                <w:sz w:val="24"/>
                <w:lang w:val="en-US" w:bidi="ar-SA"/>
              </w:rPr>
              <w:drawing>
                <wp:inline distT="0" distB="0" distL="0" distR="0">
                  <wp:extent cx="68580" cy="106680"/>
                  <wp:effectExtent l="0" t="0" r="0" b="0"/>
                  <wp:docPr id="7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2.png"/>
                          <pic:cNvPicPr>
                            <a:picLocks noChangeAspect="1"/>
                          </pic:cNvPicPr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151" cy="1068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74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pStyle w:val="2"/>
        <w:spacing w:before="3" w:line="242" w:lineRule="auto"/>
        <w:ind w:left="1320" w:right="232" w:hanging="1200"/>
      </w:pPr>
      <w:r>
        <w:rPr>
          <w:b/>
          <w:spacing w:val="-5"/>
        </w:rPr>
        <w:t>理赔期限：自</w:t>
      </w:r>
      <w:r>
        <w:rPr>
          <w:spacing w:val="-6"/>
        </w:rPr>
        <w:t>出院之日</w:t>
      </w:r>
      <w:r>
        <w:t>（以住院病历出院日期为准</w:t>
      </w:r>
      <w:r>
        <w:rPr>
          <w:spacing w:val="-24"/>
        </w:rPr>
        <w:t>）</w:t>
      </w:r>
      <w:r>
        <w:rPr>
          <w:spacing w:val="-31"/>
        </w:rPr>
        <w:t xml:space="preserve">起 </w:t>
      </w:r>
      <w:r>
        <w:t>180</w:t>
      </w:r>
      <w:r>
        <w:rPr>
          <w:spacing w:val="-11"/>
        </w:rPr>
        <w:t xml:space="preserve"> 日内申请理赔，超期</w:t>
      </w:r>
      <w:r>
        <w:t>不予受理。</w:t>
      </w:r>
    </w:p>
    <w:p>
      <w:pPr>
        <w:pStyle w:val="9"/>
      </w:pPr>
      <w:r>
        <w:t>除外责任：发生以下情形之一的，不予理赔：</w:t>
      </w:r>
    </w:p>
    <w:p>
      <w:pPr>
        <w:pStyle w:val="2"/>
        <w:spacing w:before="4" w:line="242" w:lineRule="auto"/>
        <w:ind w:left="971" w:right="237" w:hanging="432"/>
      </w:pPr>
      <w:r>
        <w:t>1、颈椎、腰椎、关节炎症、皮肤类疾病四种种类疾病，非手术治疗方式产生的费用；</w:t>
      </w:r>
    </w:p>
    <w:p>
      <w:pPr>
        <w:pStyle w:val="2"/>
        <w:spacing w:before="3"/>
      </w:pPr>
      <w:r>
        <w:t>2、交通事故、工伤、职业病、妊娠、流产、分娩产生的相关费用；</w:t>
      </w:r>
    </w:p>
    <w:p>
      <w:pPr>
        <w:pStyle w:val="2"/>
        <w:spacing w:before="4"/>
      </w:pPr>
      <w:r>
        <w:t>3、因违法犯罪、酗酒、斗殴、自杀等住院发生的医疗费用；</w:t>
      </w:r>
    </w:p>
    <w:p>
      <w:pPr>
        <w:pStyle w:val="2"/>
      </w:pPr>
      <w:r>
        <w:t>4、以各种欺诈、作弊手段参加住院医疗互助保障项目的；</w:t>
      </w:r>
    </w:p>
    <w:p>
      <w:pPr>
        <w:pStyle w:val="2"/>
        <w:spacing w:before="4" w:line="242" w:lineRule="auto"/>
        <w:ind w:left="960" w:right="237" w:hanging="420"/>
      </w:pPr>
      <w:r>
        <w:t>5、新参保的工会会员，若住院日期发生在投保生效日期之前的，当次住院的费用不予理赔；</w:t>
      </w:r>
    </w:p>
    <w:p>
      <w:pPr>
        <w:pStyle w:val="2"/>
        <w:spacing w:before="3" w:line="242" w:lineRule="auto"/>
        <w:ind w:left="960" w:right="237" w:hanging="420"/>
      </w:pPr>
      <w:r>
        <w:t>6、参保会员在保障期内退出城镇职工基本医疗保险，自其退出之日起，不再享有申请理赔的权利；</w:t>
      </w:r>
    </w:p>
    <w:p>
      <w:pPr>
        <w:pStyle w:val="2"/>
        <w:spacing w:before="3" w:line="242" w:lineRule="auto"/>
        <w:ind w:left="960" w:right="237" w:hanging="420"/>
      </w:pPr>
      <w:r>
        <w:t>7、以任何形式伪造、编造医疗费用单据，骗取社会保险待遇及保险金理赔的。</w:t>
      </w:r>
    </w:p>
    <w:p>
      <w:pPr>
        <w:pStyle w:val="9"/>
      </w:pPr>
      <w:r>
        <w:t>理赔所需材料：</w:t>
      </w:r>
    </w:p>
    <w:p>
      <w:pPr>
        <w:pStyle w:val="2"/>
      </w:pPr>
      <w:r>
        <w:t>1、《住院医疗互助保障项目理赔申请审核表》一式两份；</w:t>
      </w:r>
    </w:p>
    <w:p>
      <w:pPr>
        <w:pStyle w:val="2"/>
        <w:spacing w:before="4"/>
      </w:pPr>
      <w:r>
        <w:t>2、住院专用票据（必须提供住院发票原件，否则不予报销</w:t>
      </w:r>
      <w:r>
        <w:rPr>
          <w:spacing w:val="-120"/>
        </w:rPr>
        <w:t>）</w:t>
      </w:r>
      <w:r>
        <w:t>；</w:t>
      </w:r>
    </w:p>
    <w:p>
      <w:pPr>
        <w:pStyle w:val="2"/>
      </w:pPr>
      <w:r>
        <w:t>3、医疗保险统筹费用结算单；</w:t>
      </w:r>
    </w:p>
    <w:p>
      <w:pPr>
        <w:pStyle w:val="2"/>
        <w:spacing w:before="4"/>
      </w:pPr>
      <w:r>
        <w:t>4、住院病历复印件（病历只需提供住院病案首页、入院记录、出院记录</w:t>
      </w:r>
      <w:r>
        <w:rPr>
          <w:spacing w:val="-120"/>
        </w:rPr>
        <w:t>）</w:t>
      </w:r>
      <w:r>
        <w:t>；</w:t>
      </w:r>
    </w:p>
    <w:p>
      <w:pPr>
        <w:pStyle w:val="2"/>
        <w:spacing w:line="242" w:lineRule="auto"/>
        <w:ind w:left="960" w:right="237" w:hanging="420"/>
      </w:pPr>
      <w:r>
        <w:rPr>
          <w:lang w:val="en-US" w:bidi="ar-SA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3492500</wp:posOffset>
            </wp:positionH>
            <wp:positionV relativeFrom="paragraph">
              <wp:posOffset>203200</wp:posOffset>
            </wp:positionV>
            <wp:extent cx="1047750" cy="1047750"/>
            <wp:effectExtent l="19050" t="0" r="0" b="0"/>
            <wp:wrapNone/>
            <wp:docPr id="6" name="图片 1" descr="工会公众号二维码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1" descr="工会公众号二维码.jpg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7750" cy="1047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lang w:val="en-US" w:bidi="ar-SA"/>
        </w:rPr>
        <w:drawing>
          <wp:anchor distT="0" distB="0" distL="0" distR="0" simplePos="0" relativeHeight="251547648" behindDoc="1" locked="0" layoutInCell="1" allowOverlap="1">
            <wp:simplePos x="0" y="0"/>
            <wp:positionH relativeFrom="page">
              <wp:posOffset>5607050</wp:posOffset>
            </wp:positionH>
            <wp:positionV relativeFrom="paragraph">
              <wp:posOffset>203200</wp:posOffset>
            </wp:positionV>
            <wp:extent cx="1028700" cy="1028700"/>
            <wp:effectExtent l="19050" t="0" r="0" b="0"/>
            <wp:wrapNone/>
            <wp:docPr id="9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3.jpeg"/>
                    <pic:cNvPicPr>
                      <a:picLocks noChangeAspect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8700" cy="1028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5、本人的身份证正反面、以本人姓名开户的银行卡（只限储蓄卡、非社保卡）复印件。</w:t>
      </w:r>
    </w:p>
    <w:p>
      <w:pPr>
        <w:spacing w:before="2" w:line="300" w:lineRule="exact"/>
        <w:ind w:left="119"/>
        <w:rPr>
          <w:sz w:val="24"/>
        </w:rPr>
      </w:pPr>
      <w:r>
        <w:rPr>
          <w:b/>
          <w:spacing w:val="-24"/>
          <w:w w:val="99"/>
          <w:sz w:val="24"/>
        </w:rPr>
        <w:t>咨询电话：</w:t>
      </w:r>
      <w:r>
        <w:rPr>
          <w:sz w:val="24"/>
        </w:rPr>
        <w:t>（0631）</w:t>
      </w:r>
      <w:r>
        <w:rPr>
          <w:rFonts w:hint="eastAsia"/>
          <w:sz w:val="24"/>
        </w:rPr>
        <w:t>6663571  QQ群：</w:t>
      </w:r>
      <w:r>
        <w:rPr>
          <w:sz w:val="24"/>
        </w:rPr>
        <w:t>391176211</w:t>
      </w:r>
    </w:p>
    <w:p>
      <w:pPr>
        <w:spacing w:before="5" w:line="300" w:lineRule="exact"/>
        <w:ind w:left="119" w:right="1934"/>
        <w:rPr>
          <w:spacing w:val="-9"/>
          <w:sz w:val="24"/>
        </w:rPr>
      </w:pPr>
      <w:r>
        <w:rPr>
          <w:b/>
          <w:sz w:val="24"/>
        </w:rPr>
        <w:t>市职工服务中心地址：</w:t>
      </w:r>
      <w:r>
        <w:rPr>
          <w:rFonts w:hint="eastAsia"/>
          <w:spacing w:val="-9"/>
          <w:sz w:val="24"/>
        </w:rPr>
        <w:t>胜利街70号（文化中心一楼）</w:t>
      </w:r>
    </w:p>
    <w:p>
      <w:pPr>
        <w:spacing w:before="5" w:line="300" w:lineRule="exact"/>
        <w:ind w:left="119" w:right="1934"/>
        <w:rPr>
          <w:b/>
          <w:sz w:val="24"/>
        </w:rPr>
      </w:pPr>
      <w:r>
        <w:rPr>
          <w:rFonts w:hint="eastAsia"/>
          <w:b/>
          <w:sz w:val="24"/>
        </w:rPr>
        <w:t>关注“乳山工会在线”，点击工会信息，了解爱心</w:t>
      </w:r>
    </w:p>
    <w:p>
      <w:pPr>
        <w:spacing w:before="5" w:line="300" w:lineRule="exact"/>
        <w:ind w:left="119" w:right="1934"/>
        <w:rPr>
          <w:b/>
          <w:sz w:val="24"/>
        </w:rPr>
      </w:pPr>
      <w:r>
        <w:rPr>
          <w:rFonts w:hint="eastAsia"/>
          <w:b/>
          <w:sz w:val="24"/>
        </w:rPr>
        <w:t>互助保险的更多内容</w:t>
      </w:r>
    </w:p>
    <w:p>
      <w:pPr>
        <w:tabs>
          <w:tab w:val="left" w:pos="7461"/>
        </w:tabs>
        <w:spacing w:line="300" w:lineRule="exact"/>
        <w:ind w:left="119"/>
        <w:rPr>
          <w:b/>
          <w:sz w:val="24"/>
        </w:rPr>
      </w:pPr>
      <w:r>
        <w:rPr>
          <w:sz w:val="24"/>
        </w:rPr>
        <w:t>下载“</w:t>
      </w:r>
      <w:r>
        <w:rPr>
          <w:b/>
          <w:sz w:val="24"/>
        </w:rPr>
        <w:t>齐鲁工惠”</w:t>
      </w:r>
      <w:r>
        <w:rPr>
          <w:rFonts w:ascii="Times New Roman" w:hAnsi="Times New Roman" w:eastAsia="Times New Roman"/>
          <w:b/>
          <w:sz w:val="24"/>
        </w:rPr>
        <w:t xml:space="preserve">APP </w:t>
      </w:r>
      <w:r>
        <w:rPr>
          <w:sz w:val="24"/>
        </w:rPr>
        <w:t>查询查询参保、理赔信息</w:t>
      </w:r>
      <w:r>
        <w:rPr>
          <w:rFonts w:hint="eastAsia"/>
          <w:sz w:val="24"/>
        </w:rPr>
        <w:t xml:space="preserve">   </w:t>
      </w:r>
      <w:r>
        <w:rPr>
          <w:rFonts w:hint="eastAsia"/>
          <w:b/>
          <w:sz w:val="24"/>
        </w:rPr>
        <w:t>乳山工会在线</w:t>
      </w:r>
      <w:r>
        <w:rPr>
          <w:sz w:val="24"/>
        </w:rPr>
        <w:tab/>
      </w:r>
      <w:r>
        <w:rPr>
          <w:b/>
          <w:sz w:val="24"/>
        </w:rPr>
        <w:t>齐鲁工惠</w:t>
      </w:r>
    </w:p>
    <w:sectPr>
      <w:type w:val="continuous"/>
      <w:pgSz w:w="11910" w:h="16840"/>
      <w:pgMar w:top="1180" w:right="1560" w:bottom="280" w:left="16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2"/>
  </w:compat>
  <w:rsids>
    <w:rsidRoot w:val="00A72E72"/>
    <w:rsid w:val="00011C98"/>
    <w:rsid w:val="00061AA6"/>
    <w:rsid w:val="0009454F"/>
    <w:rsid w:val="002769F2"/>
    <w:rsid w:val="003D105B"/>
    <w:rsid w:val="003F62B4"/>
    <w:rsid w:val="00605D6A"/>
    <w:rsid w:val="006366EA"/>
    <w:rsid w:val="007135D4"/>
    <w:rsid w:val="00752604"/>
    <w:rsid w:val="008B1153"/>
    <w:rsid w:val="00926442"/>
    <w:rsid w:val="00A72E72"/>
    <w:rsid w:val="00AF0D97"/>
    <w:rsid w:val="00C47511"/>
    <w:rsid w:val="00C70AC2"/>
    <w:rsid w:val="00EE030E"/>
    <w:rsid w:val="00F30BE3"/>
    <w:rsid w:val="7E7B7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黑体" w:hAnsi="黑体" w:eastAsia="黑体" w:cs="黑体"/>
      <w:sz w:val="22"/>
      <w:szCs w:val="22"/>
      <w:lang w:val="zh-CN" w:eastAsia="zh-CN" w:bidi="zh-CN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spacing w:before="5"/>
      <w:ind w:left="540"/>
    </w:pPr>
    <w:rPr>
      <w:sz w:val="24"/>
      <w:szCs w:val="24"/>
    </w:rPr>
  </w:style>
  <w:style w:type="paragraph" w:styleId="3">
    <w:name w:val="Balloon Text"/>
    <w:basedOn w:val="1"/>
    <w:link w:val="12"/>
    <w:semiHidden/>
    <w:unhideWhenUsed/>
    <w:uiPriority w:val="99"/>
    <w:rPr>
      <w:sz w:val="18"/>
      <w:szCs w:val="18"/>
    </w:rPr>
  </w:style>
  <w:style w:type="paragraph" w:styleId="4">
    <w:name w:val="footer"/>
    <w:basedOn w:val="1"/>
    <w:link w:val="14"/>
    <w:semiHidden/>
    <w:unhideWhenUsed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5">
    <w:name w:val="header"/>
    <w:basedOn w:val="1"/>
    <w:link w:val="13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customStyle="1" w:styleId="8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9">
    <w:name w:val="Heading 1"/>
    <w:basedOn w:val="1"/>
    <w:qFormat/>
    <w:uiPriority w:val="1"/>
    <w:pPr>
      <w:spacing w:before="3"/>
      <w:ind w:left="120"/>
      <w:outlineLvl w:val="1"/>
    </w:pPr>
    <w:rPr>
      <w:b/>
      <w:bCs/>
      <w:sz w:val="24"/>
      <w:szCs w:val="24"/>
    </w:rPr>
  </w:style>
  <w:style w:type="paragraph" w:styleId="10">
    <w:name w:val="List Paragraph"/>
    <w:basedOn w:val="1"/>
    <w:qFormat/>
    <w:uiPriority w:val="1"/>
  </w:style>
  <w:style w:type="paragraph" w:customStyle="1" w:styleId="11">
    <w:name w:val="Table Paragraph"/>
    <w:basedOn w:val="1"/>
    <w:qFormat/>
    <w:uiPriority w:val="1"/>
    <w:pPr>
      <w:spacing w:before="34"/>
      <w:ind w:left="106"/>
    </w:pPr>
  </w:style>
  <w:style w:type="character" w:customStyle="1" w:styleId="12">
    <w:name w:val="批注框文本 Char"/>
    <w:basedOn w:val="7"/>
    <w:link w:val="3"/>
    <w:semiHidden/>
    <w:uiPriority w:val="99"/>
    <w:rPr>
      <w:rFonts w:ascii="黑体" w:hAnsi="黑体" w:eastAsia="黑体" w:cs="黑体"/>
      <w:sz w:val="18"/>
      <w:szCs w:val="18"/>
      <w:lang w:val="zh-CN" w:eastAsia="zh-CN" w:bidi="zh-CN"/>
    </w:rPr>
  </w:style>
  <w:style w:type="character" w:customStyle="1" w:styleId="13">
    <w:name w:val="页眉 Char"/>
    <w:basedOn w:val="7"/>
    <w:link w:val="5"/>
    <w:semiHidden/>
    <w:uiPriority w:val="99"/>
    <w:rPr>
      <w:rFonts w:ascii="黑体" w:hAnsi="黑体" w:eastAsia="黑体" w:cs="黑体"/>
      <w:sz w:val="18"/>
      <w:szCs w:val="18"/>
      <w:lang w:val="zh-CN" w:eastAsia="zh-CN" w:bidi="zh-CN"/>
    </w:rPr>
  </w:style>
  <w:style w:type="character" w:customStyle="1" w:styleId="14">
    <w:name w:val="页脚 Char"/>
    <w:basedOn w:val="7"/>
    <w:link w:val="4"/>
    <w:semiHidden/>
    <w:uiPriority w:val="99"/>
    <w:rPr>
      <w:rFonts w:ascii="黑体" w:hAnsi="黑体" w:eastAsia="黑体" w:cs="黑体"/>
      <w:sz w:val="18"/>
      <w:szCs w:val="18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156</Words>
  <Characters>894</Characters>
  <Lines>7</Lines>
  <Paragraphs>2</Paragraphs>
  <TotalTime>18</TotalTime>
  <ScaleCrop>false</ScaleCrop>
  <LinksUpToDate>false</LinksUpToDate>
  <CharactersWithSpaces>1048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2021-03-03T01:48:00Z</dcterms:created>
  <dc:creator>Administrator</dc:creator>
  <cp:lastModifiedBy>Katherine</cp:lastModifiedBy>
  <cp:lastPrinted>2021-03-03T06:21:00Z</cp:lastPrinted>
  <dcterms:modified xsi:type="dcterms:W3CDTF">2021-03-04T01:22:53Z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2021-03-02T00:00:00Z</vt:filetime>
  </property>
  <property fmtid="{D5CDD505-2E9C-101B-9397-08002B2CF9AE}" pid="3" name="Creator">
    <vt:lpwstr>WPS 文字</vt:lpwstr>
  </property>
  <property fmtid="{D5CDD505-2E9C-101B-9397-08002B2CF9AE}" pid="4" name="LastSaved">
    <vt:filetime>2021-03-03T00:00:00Z</vt:filetime>
  </property>
  <property fmtid="{D5CDD505-2E9C-101B-9397-08002B2CF9AE}" pid="5" name="KSOProductBuildVer">
    <vt:lpwstr>2052-11.1.0.10314</vt:lpwstr>
  </property>
</Properties>
</file>